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46774" w14:textId="77777777" w:rsidR="00A868E1" w:rsidRDefault="00E360CB" w:rsidP="002F6648">
      <w:pPr>
        <w:pStyle w:val="Heading1"/>
        <w:tabs>
          <w:tab w:val="left" w:pos="6675"/>
        </w:tabs>
        <w:ind w:left="-2160" w:firstLine="180"/>
      </w:pPr>
      <w:r>
        <w:rPr>
          <w:sz w:val="24"/>
        </w:rPr>
        <w:t>Issue</w:t>
      </w:r>
      <w:r w:rsidR="00D0530D">
        <w:rPr>
          <w:sz w:val="24"/>
        </w:rPr>
        <w:tab/>
      </w:r>
    </w:p>
    <w:p w14:paraId="4EB46775" w14:textId="1D3C1F00" w:rsidR="00564E9E" w:rsidRDefault="00E17AAF" w:rsidP="00E17AAF">
      <w:pPr>
        <w:pStyle w:val="Heading1"/>
        <w:tabs>
          <w:tab w:val="left" w:pos="6675"/>
        </w:tabs>
        <w:ind w:left="-810"/>
        <w:rPr>
          <w:rFonts w:ascii="Garamond" w:hAnsi="Garamond"/>
          <w:bCs w:val="0"/>
          <w:color w:val="auto"/>
          <w:kern w:val="0"/>
          <w:sz w:val="24"/>
          <w:szCs w:val="20"/>
        </w:rPr>
      </w:pPr>
      <w:r w:rsidRPr="009E4972">
        <w:rPr>
          <w:rFonts w:ascii="Garamond" w:hAnsi="Garamond"/>
          <w:bCs w:val="0"/>
          <w:color w:val="auto"/>
          <w:kern w:val="0"/>
          <w:sz w:val="24"/>
          <w:szCs w:val="20"/>
        </w:rPr>
        <w:t xml:space="preserve">Treatment </w:t>
      </w:r>
      <w:r w:rsidR="00882C61" w:rsidRPr="009E4972">
        <w:rPr>
          <w:rFonts w:ascii="Garamond" w:hAnsi="Garamond"/>
          <w:bCs w:val="0"/>
          <w:color w:val="auto"/>
          <w:kern w:val="0"/>
          <w:sz w:val="24"/>
          <w:szCs w:val="20"/>
        </w:rPr>
        <w:t xml:space="preserve">and disclosure of </w:t>
      </w:r>
      <w:r w:rsidR="00AA1134">
        <w:rPr>
          <w:rFonts w:ascii="Garamond" w:hAnsi="Garamond"/>
          <w:bCs w:val="0"/>
          <w:color w:val="auto"/>
          <w:kern w:val="0"/>
          <w:sz w:val="24"/>
          <w:szCs w:val="20"/>
        </w:rPr>
        <w:t>stale checks</w:t>
      </w:r>
      <w:r w:rsidRPr="009E4972">
        <w:rPr>
          <w:rFonts w:ascii="Garamond" w:hAnsi="Garamond"/>
          <w:bCs w:val="0"/>
          <w:color w:val="auto"/>
          <w:kern w:val="0"/>
          <w:sz w:val="24"/>
          <w:szCs w:val="20"/>
        </w:rPr>
        <w:t xml:space="preserve"> </w:t>
      </w:r>
      <w:r w:rsidR="00683259">
        <w:rPr>
          <w:rFonts w:ascii="Garamond" w:hAnsi="Garamond"/>
          <w:bCs w:val="0"/>
          <w:color w:val="auto"/>
          <w:kern w:val="0"/>
          <w:sz w:val="24"/>
          <w:szCs w:val="20"/>
        </w:rPr>
        <w:t xml:space="preserve">may </w:t>
      </w:r>
      <w:r w:rsidRPr="009E4972">
        <w:rPr>
          <w:rFonts w:ascii="Garamond" w:hAnsi="Garamond"/>
          <w:bCs w:val="0"/>
          <w:color w:val="auto"/>
          <w:kern w:val="0"/>
          <w:sz w:val="24"/>
          <w:szCs w:val="20"/>
        </w:rPr>
        <w:t>var</w:t>
      </w:r>
      <w:r w:rsidR="00683259">
        <w:rPr>
          <w:rFonts w:ascii="Garamond" w:hAnsi="Garamond"/>
          <w:bCs w:val="0"/>
          <w:color w:val="auto"/>
          <w:kern w:val="0"/>
          <w:sz w:val="24"/>
          <w:szCs w:val="20"/>
        </w:rPr>
        <w:t>y</w:t>
      </w:r>
      <w:r w:rsidRPr="009E4972">
        <w:rPr>
          <w:rFonts w:ascii="Garamond" w:hAnsi="Garamond"/>
          <w:bCs w:val="0"/>
          <w:color w:val="auto"/>
          <w:kern w:val="0"/>
          <w:sz w:val="24"/>
          <w:szCs w:val="20"/>
        </w:rPr>
        <w:t xml:space="preserve"> among the Services</w:t>
      </w:r>
      <w:r w:rsidR="00427364">
        <w:rPr>
          <w:rFonts w:ascii="Garamond" w:hAnsi="Garamond"/>
          <w:bCs w:val="0"/>
          <w:color w:val="auto"/>
          <w:kern w:val="0"/>
          <w:sz w:val="24"/>
          <w:szCs w:val="20"/>
        </w:rPr>
        <w:t>; however, additional information is necessary regarding each Service’s accounting treatment of stale checks. Additionally, State Unclaimed Property Laws may have a direct impact on the accounting treatment of unclaimed property</w:t>
      </w:r>
      <w:r w:rsidR="008703C6">
        <w:rPr>
          <w:rFonts w:ascii="Garamond" w:hAnsi="Garamond"/>
          <w:bCs w:val="0"/>
          <w:color w:val="auto"/>
          <w:kern w:val="0"/>
          <w:sz w:val="24"/>
          <w:szCs w:val="20"/>
        </w:rPr>
        <w:t xml:space="preserve"> (including sta</w:t>
      </w:r>
      <w:r w:rsidR="00542E9D">
        <w:rPr>
          <w:rFonts w:ascii="Garamond" w:hAnsi="Garamond"/>
          <w:bCs w:val="0"/>
          <w:color w:val="auto"/>
          <w:kern w:val="0"/>
          <w:sz w:val="24"/>
          <w:szCs w:val="20"/>
        </w:rPr>
        <w:t>l</w:t>
      </w:r>
      <w:r w:rsidR="008703C6">
        <w:rPr>
          <w:rFonts w:ascii="Garamond" w:hAnsi="Garamond"/>
          <w:bCs w:val="0"/>
          <w:color w:val="auto"/>
          <w:kern w:val="0"/>
          <w:sz w:val="24"/>
          <w:szCs w:val="20"/>
        </w:rPr>
        <w:t>e checks)</w:t>
      </w:r>
      <w:r w:rsidR="00427364">
        <w:rPr>
          <w:rFonts w:ascii="Garamond" w:hAnsi="Garamond"/>
          <w:bCs w:val="0"/>
          <w:color w:val="auto"/>
          <w:kern w:val="0"/>
          <w:sz w:val="24"/>
          <w:szCs w:val="20"/>
        </w:rPr>
        <w:t xml:space="preserve">. </w:t>
      </w:r>
      <w:r w:rsidRPr="009E4972">
        <w:rPr>
          <w:rFonts w:ascii="Garamond" w:hAnsi="Garamond"/>
          <w:bCs w:val="0"/>
          <w:color w:val="auto"/>
          <w:kern w:val="0"/>
          <w:sz w:val="24"/>
          <w:szCs w:val="20"/>
        </w:rPr>
        <w:t xml:space="preserve"> </w:t>
      </w:r>
    </w:p>
    <w:p w14:paraId="4EB46776" w14:textId="77777777" w:rsidR="00586697" w:rsidRDefault="00586697" w:rsidP="00586697">
      <w:pPr>
        <w:pStyle w:val="Heading1"/>
        <w:tabs>
          <w:tab w:val="left" w:pos="6675"/>
        </w:tabs>
        <w:ind w:left="-1710"/>
        <w:rPr>
          <w:rFonts w:ascii="Garamond" w:hAnsi="Garamond"/>
          <w:bCs w:val="0"/>
          <w:color w:val="auto"/>
          <w:kern w:val="0"/>
          <w:sz w:val="24"/>
          <w:szCs w:val="20"/>
        </w:rPr>
      </w:pPr>
    </w:p>
    <w:p w14:paraId="4EB46777" w14:textId="77777777" w:rsidR="002479EF" w:rsidRDefault="002479EF" w:rsidP="00586697">
      <w:pPr>
        <w:pStyle w:val="Heading1"/>
        <w:tabs>
          <w:tab w:val="left" w:pos="6675"/>
        </w:tabs>
        <w:ind w:left="-1980"/>
        <w:rPr>
          <w:sz w:val="24"/>
        </w:rPr>
      </w:pPr>
      <w:r>
        <w:rPr>
          <w:sz w:val="24"/>
        </w:rPr>
        <w:t>Research</w:t>
      </w:r>
    </w:p>
    <w:p w14:paraId="4EB46778" w14:textId="5DB0975C" w:rsidR="002479EF" w:rsidRDefault="00427364" w:rsidP="002479EF">
      <w:pPr>
        <w:ind w:left="-810"/>
        <w:rPr>
          <w:sz w:val="24"/>
        </w:rPr>
      </w:pPr>
      <w:r>
        <w:rPr>
          <w:sz w:val="24"/>
        </w:rPr>
        <w:t>Below outlines the current</w:t>
      </w:r>
      <w:r w:rsidR="002479EF" w:rsidRPr="009E4972">
        <w:rPr>
          <w:sz w:val="24"/>
        </w:rPr>
        <w:t xml:space="preserve"> regulations, accounting guidance and industry standards </w:t>
      </w:r>
      <w:r>
        <w:rPr>
          <w:sz w:val="24"/>
        </w:rPr>
        <w:t>related to the treatment of stale checks</w:t>
      </w:r>
      <w:r w:rsidR="002479EF" w:rsidRPr="009E4972">
        <w:rPr>
          <w:sz w:val="24"/>
        </w:rPr>
        <w:t>.</w:t>
      </w:r>
    </w:p>
    <w:p w14:paraId="4EB46779" w14:textId="77777777" w:rsidR="00ED6A35" w:rsidRDefault="002479EF" w:rsidP="002479EF">
      <w:pPr>
        <w:ind w:left="-810"/>
        <w:rPr>
          <w:sz w:val="24"/>
        </w:rPr>
      </w:pPr>
      <w:r>
        <w:rPr>
          <w:sz w:val="24"/>
        </w:rPr>
        <w:t xml:space="preserve"> </w:t>
      </w:r>
    </w:p>
    <w:tbl>
      <w:tblPr>
        <w:tblStyle w:val="LightGrid"/>
        <w:tblpPr w:leftFromText="180" w:rightFromText="180" w:vertAnchor="text" w:horzAnchor="page" w:tblpXSpec="center" w:tblpY="151"/>
        <w:tblW w:w="14670" w:type="dxa"/>
        <w:jc w:val="center"/>
        <w:tblLayout w:type="fixed"/>
        <w:tblLook w:val="04A0" w:firstRow="1" w:lastRow="0" w:firstColumn="1" w:lastColumn="0" w:noHBand="0" w:noVBand="1"/>
      </w:tblPr>
      <w:tblGrid>
        <w:gridCol w:w="7190"/>
        <w:gridCol w:w="2430"/>
        <w:gridCol w:w="1710"/>
        <w:gridCol w:w="1800"/>
        <w:gridCol w:w="1540"/>
      </w:tblGrid>
      <w:tr w:rsidR="00BB5F9B" w:rsidRPr="00655FDE" w14:paraId="4EB4677F" w14:textId="77777777" w:rsidTr="006D5AC3">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190" w:type="dxa"/>
            <w:shd w:val="clear" w:color="auto" w:fill="000000" w:themeFill="text1"/>
            <w:vAlign w:val="center"/>
          </w:tcPr>
          <w:p w14:paraId="4EB4677A" w14:textId="1F4E4C4F" w:rsidR="00BB5F9B" w:rsidRPr="00D952E5" w:rsidRDefault="00AA1134" w:rsidP="00AA1134">
            <w:pPr>
              <w:jc w:val="center"/>
              <w:rPr>
                <w:sz w:val="26"/>
                <w:szCs w:val="26"/>
              </w:rPr>
            </w:pPr>
            <w:r>
              <w:rPr>
                <w:sz w:val="26"/>
                <w:szCs w:val="26"/>
              </w:rPr>
              <w:t>Stale Checks</w:t>
            </w:r>
            <w:r w:rsidR="00882C61">
              <w:rPr>
                <w:sz w:val="26"/>
                <w:szCs w:val="26"/>
              </w:rPr>
              <w:t xml:space="preserve"> </w:t>
            </w:r>
            <w:r w:rsidR="00C460F9">
              <w:rPr>
                <w:sz w:val="26"/>
                <w:szCs w:val="26"/>
              </w:rPr>
              <w:t xml:space="preserve">Treatment and </w:t>
            </w:r>
            <w:r w:rsidR="00586697">
              <w:rPr>
                <w:sz w:val="26"/>
                <w:szCs w:val="26"/>
              </w:rPr>
              <w:t>Guidelines</w:t>
            </w:r>
          </w:p>
        </w:tc>
        <w:tc>
          <w:tcPr>
            <w:tcW w:w="2430" w:type="dxa"/>
            <w:shd w:val="clear" w:color="auto" w:fill="000000" w:themeFill="text1"/>
            <w:vAlign w:val="center"/>
          </w:tcPr>
          <w:p w14:paraId="4EB4677B"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Air Force</w:t>
            </w:r>
          </w:p>
        </w:tc>
        <w:tc>
          <w:tcPr>
            <w:tcW w:w="1710" w:type="dxa"/>
            <w:shd w:val="clear" w:color="auto" w:fill="000000" w:themeFill="text1"/>
            <w:vAlign w:val="center"/>
          </w:tcPr>
          <w:p w14:paraId="4EB4677C"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Army</w:t>
            </w:r>
          </w:p>
        </w:tc>
        <w:tc>
          <w:tcPr>
            <w:tcW w:w="1800" w:type="dxa"/>
            <w:shd w:val="clear" w:color="auto" w:fill="000000" w:themeFill="text1"/>
            <w:vAlign w:val="center"/>
          </w:tcPr>
          <w:p w14:paraId="4EB4677D"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Navy</w:t>
            </w:r>
          </w:p>
        </w:tc>
        <w:tc>
          <w:tcPr>
            <w:tcW w:w="1540" w:type="dxa"/>
            <w:shd w:val="clear" w:color="auto" w:fill="000000" w:themeFill="text1"/>
            <w:vAlign w:val="center"/>
          </w:tcPr>
          <w:p w14:paraId="4EB4677E"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Marines</w:t>
            </w:r>
          </w:p>
        </w:tc>
      </w:tr>
      <w:tr w:rsidR="00F05EBE" w:rsidRPr="00655FDE" w14:paraId="4EB46785" w14:textId="77777777" w:rsidTr="006D5AC3">
        <w:trPr>
          <w:cnfStyle w:val="000000100000" w:firstRow="0" w:lastRow="0" w:firstColumn="0" w:lastColumn="0" w:oddVBand="0" w:evenVBand="0" w:oddHBand="1" w:evenHBand="0" w:firstRowFirstColumn="0" w:firstRowLastColumn="0" w:lastRowFirstColumn="0" w:lastRowLastColumn="0"/>
          <w:trHeight w:val="1668"/>
          <w:jc w:val="center"/>
        </w:trPr>
        <w:tc>
          <w:tcPr>
            <w:cnfStyle w:val="001000000000" w:firstRow="0" w:lastRow="0" w:firstColumn="1" w:lastColumn="0" w:oddVBand="0" w:evenVBand="0" w:oddHBand="0" w:evenHBand="0" w:firstRowFirstColumn="0" w:firstRowLastColumn="0" w:lastRowFirstColumn="0" w:lastRowLastColumn="0"/>
            <w:tcW w:w="7190" w:type="dxa"/>
          </w:tcPr>
          <w:p w14:paraId="586064CD" w14:textId="72726FF9" w:rsidR="00F05EBE" w:rsidRDefault="00F05EBE" w:rsidP="001E778C">
            <w:pPr>
              <w:rPr>
                <w:sz w:val="24"/>
                <w:szCs w:val="24"/>
              </w:rPr>
            </w:pPr>
            <w:r w:rsidRPr="000D2B3E">
              <w:rPr>
                <w:sz w:val="24"/>
                <w:szCs w:val="24"/>
              </w:rPr>
              <w:t xml:space="preserve">Classification </w:t>
            </w:r>
            <w:r w:rsidR="00586697" w:rsidRPr="000D2B3E">
              <w:rPr>
                <w:sz w:val="24"/>
                <w:szCs w:val="24"/>
              </w:rPr>
              <w:t xml:space="preserve">of </w:t>
            </w:r>
            <w:r w:rsidR="00AA1134">
              <w:rPr>
                <w:sz w:val="24"/>
                <w:szCs w:val="24"/>
              </w:rPr>
              <w:t>Stale Checks</w:t>
            </w:r>
          </w:p>
          <w:p w14:paraId="5CE093DB" w14:textId="77777777" w:rsidR="001E778C" w:rsidRDefault="001E778C" w:rsidP="001E778C">
            <w:pPr>
              <w:rPr>
                <w:sz w:val="24"/>
                <w:szCs w:val="24"/>
              </w:rPr>
            </w:pPr>
          </w:p>
          <w:p w14:paraId="4EB46780" w14:textId="2AC6B058" w:rsidR="0017574C" w:rsidRPr="008B3B98" w:rsidRDefault="0017574C" w:rsidP="001E778C">
            <w:pPr>
              <w:rPr>
                <w:b w:val="0"/>
                <w:sz w:val="24"/>
                <w:szCs w:val="24"/>
              </w:rPr>
            </w:pPr>
          </w:p>
        </w:tc>
        <w:tc>
          <w:tcPr>
            <w:tcW w:w="2430" w:type="dxa"/>
          </w:tcPr>
          <w:p w14:paraId="4EB46781" w14:textId="147856C0" w:rsidR="006D5AC3" w:rsidRPr="00C228C6" w:rsidRDefault="00B55DE6" w:rsidP="006D5AC3">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Based on </w:t>
            </w:r>
            <w:r w:rsidR="006D5AC3">
              <w:rPr>
                <w:szCs w:val="22"/>
              </w:rPr>
              <w:t>Service provided feedback,</w:t>
            </w:r>
            <w:r w:rsidR="006D5AC3">
              <w:t xml:space="preserve"> EFT mandated for new employees. Where possible vendor payments are made via EFT.  Workers Comp and Retirement is currently processing payments via check with continued influence to migrate to EFT.  Any checks monitored are voided after 180 days.  Documentation remained by Treasury on voided checks and upon presentation or request check will be reissued upon validation by the program manager. Current accounting structure does not include a liability account for outstanding checks </w:t>
            </w:r>
            <w:r w:rsidR="006D5AC3">
              <w:lastRenderedPageBreak/>
              <w:t>nor guidance of remitting the money to the debtor’s state. Information is maintained on the employee, vendor, retiree, etc. for verification of check issued, voided, and right to claim.</w:t>
            </w:r>
          </w:p>
        </w:tc>
        <w:tc>
          <w:tcPr>
            <w:tcW w:w="1710" w:type="dxa"/>
          </w:tcPr>
          <w:p w14:paraId="4EB46782" w14:textId="46FE8B87" w:rsidR="00F05EBE" w:rsidRPr="00C228C6" w:rsidRDefault="00B55DE6" w:rsidP="003D05EE">
            <w:pPr>
              <w:cnfStyle w:val="000000100000" w:firstRow="0" w:lastRow="0" w:firstColumn="0" w:lastColumn="0" w:oddVBand="0" w:evenVBand="0" w:oddHBand="1" w:evenHBand="0" w:firstRowFirstColumn="0" w:firstRowLastColumn="0" w:lastRowFirstColumn="0" w:lastRowLastColumn="0"/>
              <w:rPr>
                <w:szCs w:val="22"/>
              </w:rPr>
            </w:pPr>
            <w:r>
              <w:rPr>
                <w:szCs w:val="22"/>
              </w:rPr>
              <w:lastRenderedPageBreak/>
              <w:t>Based on NAFSGL  offsite discussion, require direct deposit for all employees</w:t>
            </w:r>
          </w:p>
        </w:tc>
        <w:tc>
          <w:tcPr>
            <w:tcW w:w="1800" w:type="dxa"/>
          </w:tcPr>
          <w:p w14:paraId="4EB46783" w14:textId="74D2F17B" w:rsidR="00F05EBE" w:rsidRPr="00C228C6" w:rsidRDefault="00B55DE6" w:rsidP="00882C61">
            <w:pPr>
              <w:cnfStyle w:val="000000100000" w:firstRow="0" w:lastRow="0" w:firstColumn="0" w:lastColumn="0" w:oddVBand="0" w:evenVBand="0" w:oddHBand="1" w:evenHBand="0" w:firstRowFirstColumn="0" w:firstRowLastColumn="0" w:lastRowFirstColumn="0" w:lastRowLastColumn="0"/>
              <w:rPr>
                <w:szCs w:val="22"/>
              </w:rPr>
            </w:pPr>
            <w:r>
              <w:rPr>
                <w:szCs w:val="22"/>
              </w:rPr>
              <w:t>Based on NAFSGL  offsite discussion, require direct deposit for all employees</w:t>
            </w:r>
          </w:p>
        </w:tc>
        <w:tc>
          <w:tcPr>
            <w:tcW w:w="1540" w:type="dxa"/>
          </w:tcPr>
          <w:p w14:paraId="4EB46784" w14:textId="71254BC3" w:rsidR="00F05EBE" w:rsidRPr="00C228C6" w:rsidRDefault="00B55DE6" w:rsidP="00F05EBE">
            <w:pPr>
              <w:cnfStyle w:val="000000100000" w:firstRow="0" w:lastRow="0" w:firstColumn="0" w:lastColumn="0" w:oddVBand="0" w:evenVBand="0" w:oddHBand="1" w:evenHBand="0" w:firstRowFirstColumn="0" w:firstRowLastColumn="0" w:lastRowFirstColumn="0" w:lastRowLastColumn="0"/>
              <w:rPr>
                <w:szCs w:val="22"/>
              </w:rPr>
            </w:pPr>
            <w:r>
              <w:rPr>
                <w:szCs w:val="22"/>
              </w:rPr>
              <w:t>Encounters issue with Stale Checks</w:t>
            </w:r>
          </w:p>
        </w:tc>
      </w:tr>
      <w:tr w:rsidR="002453C4" w:rsidRPr="00655FDE" w14:paraId="4EB4678B" w14:textId="77777777" w:rsidTr="006D5A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0" w:type="dxa"/>
          </w:tcPr>
          <w:p w14:paraId="74A987A0" w14:textId="7824AA76" w:rsidR="00C773EE" w:rsidRPr="000E45BA" w:rsidRDefault="00F320E6" w:rsidP="00F320E6">
            <w:pPr>
              <w:autoSpaceDE w:val="0"/>
              <w:autoSpaceDN w:val="0"/>
              <w:adjustRightInd w:val="0"/>
              <w:rPr>
                <w:rFonts w:asciiTheme="minorHAnsi" w:hAnsiTheme="minorHAnsi"/>
                <w:b w:val="0"/>
                <w:bCs w:val="0"/>
              </w:rPr>
            </w:pPr>
            <w:r>
              <w:rPr>
                <w:rFonts w:asciiTheme="minorHAnsi" w:hAnsiTheme="minorHAnsi"/>
                <w:sz w:val="24"/>
                <w:szCs w:val="24"/>
              </w:rPr>
              <w:t>DoDI 1015.10</w:t>
            </w:r>
            <w:r w:rsidR="009B7765">
              <w:rPr>
                <w:rFonts w:asciiTheme="minorHAnsi" w:hAnsiTheme="minorHAnsi"/>
                <w:sz w:val="24"/>
                <w:szCs w:val="24"/>
              </w:rPr>
              <w:t xml:space="preserve">: </w:t>
            </w:r>
            <w:r w:rsidR="000E45BA" w:rsidRPr="000E45BA">
              <w:rPr>
                <w:rFonts w:asciiTheme="minorHAnsi" w:hAnsiTheme="minorHAnsi"/>
                <w:b w:val="0"/>
                <w:sz w:val="24"/>
                <w:szCs w:val="24"/>
              </w:rPr>
              <w:t>Silent on Treatment.</w:t>
            </w:r>
          </w:p>
          <w:p w14:paraId="4EB46786" w14:textId="53569FFE" w:rsidR="00810916" w:rsidRPr="00810916" w:rsidRDefault="00810916" w:rsidP="00810916">
            <w:pPr>
              <w:autoSpaceDE w:val="0"/>
              <w:autoSpaceDN w:val="0"/>
              <w:adjustRightInd w:val="0"/>
              <w:rPr>
                <w:rFonts w:asciiTheme="minorHAnsi" w:hAnsiTheme="minorHAnsi"/>
                <w:b w:val="0"/>
                <w:sz w:val="24"/>
                <w:szCs w:val="24"/>
              </w:rPr>
            </w:pPr>
          </w:p>
        </w:tc>
        <w:tc>
          <w:tcPr>
            <w:tcW w:w="2430" w:type="dxa"/>
          </w:tcPr>
          <w:p w14:paraId="4EB46787" w14:textId="4A1333E4" w:rsidR="000E45BA" w:rsidRPr="00B137AE" w:rsidRDefault="000E45BA"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1710" w:type="dxa"/>
          </w:tcPr>
          <w:p w14:paraId="4EB46788" w14:textId="64ECEAE4" w:rsidR="002453C4" w:rsidRPr="00B137AE" w:rsidRDefault="000E45BA"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1800" w:type="dxa"/>
          </w:tcPr>
          <w:p w14:paraId="4EB46789" w14:textId="6B01BF72" w:rsidR="002453C4" w:rsidRPr="00B137AE" w:rsidRDefault="000E45BA"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c>
          <w:tcPr>
            <w:tcW w:w="1540" w:type="dxa"/>
          </w:tcPr>
          <w:p w14:paraId="4EB4678A" w14:textId="6677819A" w:rsidR="002453C4" w:rsidRPr="00B137AE" w:rsidRDefault="000E45BA"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N/A</w:t>
            </w:r>
          </w:p>
        </w:tc>
      </w:tr>
      <w:tr w:rsidR="002453C4" w:rsidRPr="00655FDE" w14:paraId="4EB46793" w14:textId="77777777" w:rsidTr="006D5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0" w:type="dxa"/>
          </w:tcPr>
          <w:p w14:paraId="4EB4678E" w14:textId="5825C783" w:rsidR="0047494A" w:rsidRPr="000E45BA" w:rsidRDefault="00F320E6" w:rsidP="00F320E6">
            <w:pPr>
              <w:autoSpaceDE w:val="0"/>
              <w:autoSpaceDN w:val="0"/>
              <w:adjustRightInd w:val="0"/>
              <w:rPr>
                <w:rFonts w:asciiTheme="minorHAnsi" w:hAnsiTheme="minorHAnsi"/>
                <w:b w:val="0"/>
                <w:bCs w:val="0"/>
              </w:rPr>
            </w:pPr>
            <w:r w:rsidRPr="00810916">
              <w:rPr>
                <w:rFonts w:asciiTheme="minorHAnsi" w:hAnsiTheme="minorHAnsi"/>
                <w:sz w:val="24"/>
                <w:szCs w:val="24"/>
              </w:rPr>
              <w:t>DoDI 1015.15</w:t>
            </w:r>
            <w:r>
              <w:rPr>
                <w:rFonts w:asciiTheme="minorHAnsi" w:hAnsiTheme="minorHAnsi"/>
                <w:sz w:val="24"/>
                <w:szCs w:val="24"/>
              </w:rPr>
              <w:t xml:space="preserve">: </w:t>
            </w:r>
            <w:r w:rsidR="000E45BA" w:rsidRPr="000E45BA">
              <w:rPr>
                <w:rFonts w:asciiTheme="minorHAnsi" w:hAnsiTheme="minorHAnsi"/>
                <w:b w:val="0"/>
                <w:sz w:val="24"/>
                <w:szCs w:val="24"/>
              </w:rPr>
              <w:t xml:space="preserve"> Silent on Treatment.</w:t>
            </w:r>
          </w:p>
        </w:tc>
        <w:tc>
          <w:tcPr>
            <w:tcW w:w="2430" w:type="dxa"/>
          </w:tcPr>
          <w:p w14:paraId="4EB4678F" w14:textId="3F4B7EB1" w:rsidR="002453C4" w:rsidRPr="00B137AE" w:rsidRDefault="000E45BA" w:rsidP="002453C4">
            <w:pPr>
              <w:cnfStyle w:val="000000100000" w:firstRow="0" w:lastRow="0" w:firstColumn="0" w:lastColumn="0" w:oddVBand="0" w:evenVBand="0" w:oddHBand="1" w:evenHBand="0" w:firstRowFirstColumn="0" w:firstRowLastColumn="0" w:lastRowFirstColumn="0" w:lastRowLastColumn="0"/>
              <w:rPr>
                <w:szCs w:val="22"/>
              </w:rPr>
            </w:pPr>
            <w:r>
              <w:rPr>
                <w:szCs w:val="22"/>
              </w:rPr>
              <w:t>N/A</w:t>
            </w:r>
          </w:p>
        </w:tc>
        <w:tc>
          <w:tcPr>
            <w:tcW w:w="1710" w:type="dxa"/>
          </w:tcPr>
          <w:p w14:paraId="4EB46790" w14:textId="56CAF1C4" w:rsidR="002453C4" w:rsidRPr="00B137AE" w:rsidRDefault="000E45BA" w:rsidP="002453C4">
            <w:pPr>
              <w:cnfStyle w:val="000000100000" w:firstRow="0" w:lastRow="0" w:firstColumn="0" w:lastColumn="0" w:oddVBand="0" w:evenVBand="0" w:oddHBand="1" w:evenHBand="0" w:firstRowFirstColumn="0" w:firstRowLastColumn="0" w:lastRowFirstColumn="0" w:lastRowLastColumn="0"/>
              <w:rPr>
                <w:szCs w:val="22"/>
              </w:rPr>
            </w:pPr>
            <w:r>
              <w:rPr>
                <w:szCs w:val="22"/>
              </w:rPr>
              <w:t>N/A</w:t>
            </w:r>
          </w:p>
        </w:tc>
        <w:tc>
          <w:tcPr>
            <w:tcW w:w="1800" w:type="dxa"/>
          </w:tcPr>
          <w:p w14:paraId="4EB46791" w14:textId="3ACBEB94" w:rsidR="002453C4" w:rsidRPr="00B137AE" w:rsidRDefault="000E45BA" w:rsidP="002453C4">
            <w:pPr>
              <w:cnfStyle w:val="000000100000" w:firstRow="0" w:lastRow="0" w:firstColumn="0" w:lastColumn="0" w:oddVBand="0" w:evenVBand="0" w:oddHBand="1" w:evenHBand="0" w:firstRowFirstColumn="0" w:firstRowLastColumn="0" w:lastRowFirstColumn="0" w:lastRowLastColumn="0"/>
              <w:rPr>
                <w:szCs w:val="22"/>
              </w:rPr>
            </w:pPr>
            <w:r>
              <w:rPr>
                <w:szCs w:val="22"/>
              </w:rPr>
              <w:t>N/A</w:t>
            </w:r>
          </w:p>
        </w:tc>
        <w:tc>
          <w:tcPr>
            <w:tcW w:w="1540" w:type="dxa"/>
          </w:tcPr>
          <w:p w14:paraId="4EB46792" w14:textId="2DC5BA59" w:rsidR="002453C4" w:rsidRPr="00B137AE" w:rsidRDefault="000E45BA" w:rsidP="002453C4">
            <w:pPr>
              <w:cnfStyle w:val="000000100000" w:firstRow="0" w:lastRow="0" w:firstColumn="0" w:lastColumn="0" w:oddVBand="0" w:evenVBand="0" w:oddHBand="1" w:evenHBand="0" w:firstRowFirstColumn="0" w:firstRowLastColumn="0" w:lastRowFirstColumn="0" w:lastRowLastColumn="0"/>
              <w:rPr>
                <w:szCs w:val="22"/>
              </w:rPr>
            </w:pPr>
            <w:r>
              <w:rPr>
                <w:szCs w:val="22"/>
              </w:rPr>
              <w:t>N/A</w:t>
            </w:r>
          </w:p>
        </w:tc>
      </w:tr>
      <w:tr w:rsidR="00F320E6" w:rsidRPr="00655FDE" w14:paraId="56488F88" w14:textId="77777777" w:rsidTr="006D5A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0" w:type="dxa"/>
          </w:tcPr>
          <w:p w14:paraId="3B6890C2" w14:textId="1A9F160B" w:rsidR="000E45BA" w:rsidRPr="00D42FEA" w:rsidRDefault="00F320E6" w:rsidP="00D42FEA">
            <w:pPr>
              <w:rPr>
                <w:rFonts w:asciiTheme="minorHAnsi" w:hAnsiTheme="minorHAnsi"/>
                <w:b w:val="0"/>
                <w:sz w:val="24"/>
                <w:szCs w:val="24"/>
              </w:rPr>
            </w:pPr>
            <w:r w:rsidRPr="00D42FEA">
              <w:rPr>
                <w:rFonts w:asciiTheme="minorHAnsi" w:hAnsiTheme="minorHAnsi"/>
                <w:sz w:val="24"/>
                <w:szCs w:val="24"/>
              </w:rPr>
              <w:t>FMR</w:t>
            </w:r>
            <w:r w:rsidR="00D42FEA" w:rsidRPr="00D42FEA">
              <w:rPr>
                <w:rFonts w:asciiTheme="minorHAnsi" w:hAnsiTheme="minorHAnsi"/>
                <w:sz w:val="24"/>
                <w:szCs w:val="24"/>
              </w:rPr>
              <w:t xml:space="preserve"> Volume 5, Chapter 7</w:t>
            </w:r>
            <w:r w:rsidR="000E45BA" w:rsidRPr="00D42FEA">
              <w:rPr>
                <w:rFonts w:asciiTheme="minorHAnsi" w:hAnsiTheme="minorHAnsi"/>
                <w:sz w:val="24"/>
                <w:szCs w:val="24"/>
              </w:rPr>
              <w:t>:</w:t>
            </w:r>
            <w:r w:rsidRPr="00D42FEA">
              <w:rPr>
                <w:rFonts w:asciiTheme="minorHAnsi" w:hAnsiTheme="minorHAnsi"/>
                <w:sz w:val="24"/>
                <w:szCs w:val="24"/>
              </w:rPr>
              <w:t xml:space="preserve"> </w:t>
            </w:r>
            <w:r w:rsidR="00D42FEA" w:rsidRPr="00D42FEA">
              <w:rPr>
                <w:rFonts w:asciiTheme="minorHAnsi" w:hAnsiTheme="minorHAnsi" w:cs="Times New Roman"/>
                <w:color w:val="000000"/>
                <w:sz w:val="24"/>
                <w:szCs w:val="24"/>
              </w:rPr>
              <w:t xml:space="preserve"> 070703. Cash Belonging to Deceased or Missing Persons, </w:t>
            </w:r>
            <w:r w:rsidR="00D42FEA" w:rsidRPr="00D42FEA">
              <w:rPr>
                <w:rFonts w:asciiTheme="minorHAnsi" w:hAnsiTheme="minorHAnsi"/>
                <w:sz w:val="24"/>
                <w:szCs w:val="24"/>
              </w:rPr>
              <w:t xml:space="preserve">B. Unknown Whereabouts. </w:t>
            </w:r>
            <w:r w:rsidR="00D42FEA" w:rsidRPr="00D42FEA">
              <w:rPr>
                <w:rFonts w:asciiTheme="minorHAnsi" w:hAnsiTheme="minorHAnsi"/>
                <w:b w:val="0"/>
                <w:sz w:val="24"/>
                <w:szCs w:val="24"/>
              </w:rPr>
              <w:t>Collect cash found in the personal effects of a person whose whereabouts are unknown, including absentees and deserters, into a deposit fund account. Funds that have been held in a deposit fund for more than one year can be transferred to account 20X6133, Payment of Unclaimed Moneys, or into account **R1060, Forfeitures of Unclaimed Money and Property. Make a separate collection for</w:t>
            </w:r>
            <w:r w:rsidR="00D42FEA">
              <w:rPr>
                <w:rFonts w:asciiTheme="minorHAnsi" w:hAnsiTheme="minorHAnsi"/>
                <w:b w:val="0"/>
                <w:sz w:val="24"/>
                <w:szCs w:val="24"/>
              </w:rPr>
              <w:t xml:space="preserve"> </w:t>
            </w:r>
            <w:r w:rsidR="00D42FEA" w:rsidRPr="00D42FEA">
              <w:rPr>
                <w:rFonts w:asciiTheme="minorHAnsi" w:hAnsiTheme="minorHAnsi"/>
                <w:b w:val="0"/>
                <w:sz w:val="24"/>
                <w:szCs w:val="24"/>
              </w:rPr>
              <w:t>safekeeping deposits of each</w:t>
            </w:r>
            <w:r w:rsidR="00D42FEA">
              <w:rPr>
                <w:rFonts w:asciiTheme="minorHAnsi" w:hAnsiTheme="minorHAnsi"/>
                <w:b w:val="0"/>
                <w:sz w:val="24"/>
                <w:szCs w:val="24"/>
              </w:rPr>
              <w:t xml:space="preserve"> </w:t>
            </w:r>
            <w:r w:rsidR="00D42FEA" w:rsidRPr="00D42FEA">
              <w:rPr>
                <w:rFonts w:asciiTheme="minorHAnsi" w:hAnsiTheme="minorHAnsi"/>
                <w:b w:val="0"/>
                <w:sz w:val="24"/>
                <w:szCs w:val="24"/>
              </w:rPr>
              <w:t xml:space="preserve">person and </w:t>
            </w:r>
            <w:r w:rsidR="00D42FEA">
              <w:rPr>
                <w:rFonts w:asciiTheme="minorHAnsi" w:hAnsiTheme="minorHAnsi"/>
                <w:b w:val="0"/>
                <w:sz w:val="24"/>
                <w:szCs w:val="24"/>
              </w:rPr>
              <w:t xml:space="preserve">include the safekeeping deposit </w:t>
            </w:r>
            <w:r w:rsidR="00D42FEA" w:rsidRPr="00D42FEA">
              <w:rPr>
                <w:rFonts w:asciiTheme="minorHAnsi" w:hAnsiTheme="minorHAnsi"/>
                <w:b w:val="0"/>
                <w:sz w:val="24"/>
                <w:szCs w:val="24"/>
              </w:rPr>
              <w:t>number on the collection voucher (see Chapter 16,</w:t>
            </w:r>
            <w:r w:rsidR="00D42FEA">
              <w:rPr>
                <w:rFonts w:asciiTheme="minorHAnsi" w:hAnsiTheme="minorHAnsi"/>
                <w:b w:val="0"/>
                <w:sz w:val="24"/>
                <w:szCs w:val="24"/>
              </w:rPr>
              <w:t xml:space="preserve"> </w:t>
            </w:r>
            <w:r w:rsidR="00D42FEA" w:rsidRPr="00D42FEA">
              <w:rPr>
                <w:rFonts w:asciiTheme="minorHAnsi" w:hAnsiTheme="minorHAnsi"/>
                <w:b w:val="0"/>
                <w:sz w:val="24"/>
                <w:szCs w:val="24"/>
              </w:rPr>
              <w:t>paragraph 160305). Give</w:t>
            </w:r>
            <w:r w:rsidR="00D42FEA">
              <w:rPr>
                <w:rFonts w:asciiTheme="minorHAnsi" w:hAnsiTheme="minorHAnsi"/>
                <w:b w:val="0"/>
                <w:sz w:val="24"/>
                <w:szCs w:val="24"/>
              </w:rPr>
              <w:t xml:space="preserve"> a </w:t>
            </w:r>
            <w:r w:rsidR="00D42FEA" w:rsidRPr="00D42FEA">
              <w:rPr>
                <w:rFonts w:asciiTheme="minorHAnsi" w:hAnsiTheme="minorHAnsi"/>
                <w:b w:val="0"/>
                <w:sz w:val="24"/>
                <w:szCs w:val="24"/>
              </w:rPr>
              <w:t>copy of the collection voucher to the officer having custody of the</w:t>
            </w:r>
            <w:r w:rsidR="00D42FEA">
              <w:rPr>
                <w:rFonts w:asciiTheme="minorHAnsi" w:hAnsiTheme="minorHAnsi"/>
                <w:b w:val="0"/>
                <w:sz w:val="24"/>
                <w:szCs w:val="24"/>
              </w:rPr>
              <w:t xml:space="preserve"> </w:t>
            </w:r>
            <w:r w:rsidR="00D42FEA" w:rsidRPr="00D42FEA">
              <w:rPr>
                <w:rFonts w:asciiTheme="minorHAnsi" w:hAnsiTheme="minorHAnsi"/>
                <w:b w:val="0"/>
                <w:sz w:val="24"/>
                <w:szCs w:val="24"/>
              </w:rPr>
              <w:t>personal effects.</w:t>
            </w:r>
          </w:p>
          <w:p w14:paraId="4527F190" w14:textId="77777777" w:rsidR="00F320E6" w:rsidRDefault="00F320E6" w:rsidP="00F320E6">
            <w:pPr>
              <w:rPr>
                <w:rFonts w:asciiTheme="minorHAnsi" w:hAnsiTheme="minorHAnsi"/>
                <w:sz w:val="24"/>
                <w:szCs w:val="24"/>
              </w:rPr>
            </w:pPr>
          </w:p>
          <w:p w14:paraId="2C1A69DD" w14:textId="4AA6E25C" w:rsidR="00F74AC3" w:rsidRPr="00F74AC3" w:rsidRDefault="00DF7F66" w:rsidP="00F74AC3">
            <w:pPr>
              <w:rPr>
                <w:rFonts w:asciiTheme="minorHAnsi" w:hAnsiTheme="minorHAnsi"/>
                <w:b w:val="0"/>
                <w:sz w:val="24"/>
                <w:szCs w:val="24"/>
              </w:rPr>
            </w:pPr>
            <w:r>
              <w:rPr>
                <w:rFonts w:asciiTheme="minorHAnsi" w:hAnsiTheme="minorHAnsi"/>
                <w:sz w:val="24"/>
                <w:szCs w:val="24"/>
              </w:rPr>
              <w:t xml:space="preserve">FMR Volume 8, Chapter 10: 100507. Transfer of Funds. </w:t>
            </w:r>
            <w:r>
              <w:rPr>
                <w:rFonts w:asciiTheme="minorHAnsi" w:hAnsiTheme="minorHAnsi"/>
                <w:b w:val="0"/>
                <w:sz w:val="24"/>
                <w:szCs w:val="24"/>
              </w:rPr>
              <w:t>The unpaid compensation is placed in the deposit fund pending receipt of a claim for the compensation. If</w:t>
            </w:r>
            <w:r w:rsidR="00BF4991">
              <w:rPr>
                <w:rFonts w:asciiTheme="minorHAnsi" w:hAnsiTheme="minorHAnsi"/>
                <w:b w:val="0"/>
                <w:sz w:val="24"/>
                <w:szCs w:val="24"/>
              </w:rPr>
              <w:t xml:space="preserve"> after one year,</w:t>
            </w:r>
            <w:r>
              <w:rPr>
                <w:rFonts w:asciiTheme="minorHAnsi" w:hAnsiTheme="minorHAnsi"/>
                <w:b w:val="0"/>
                <w:sz w:val="24"/>
                <w:szCs w:val="24"/>
              </w:rPr>
              <w:t xml:space="preserve"> a claim has not been </w:t>
            </w:r>
            <w:r w:rsidR="00BF4991">
              <w:rPr>
                <w:rFonts w:asciiTheme="minorHAnsi" w:hAnsiTheme="minorHAnsi"/>
                <w:b w:val="0"/>
                <w:sz w:val="24"/>
                <w:szCs w:val="24"/>
              </w:rPr>
              <w:t>paid out from the deposit fund account, the funds should be transferred according to the Treasury guidelines. Subsequent payment of claims from this account is made by preparing an SF 1154. See Department of Treasury Financial Manual, Chapter 3000.</w:t>
            </w:r>
          </w:p>
        </w:tc>
        <w:tc>
          <w:tcPr>
            <w:tcW w:w="2430" w:type="dxa"/>
          </w:tcPr>
          <w:p w14:paraId="0C5C0CCB" w14:textId="190F886F" w:rsidR="00F320E6" w:rsidRDefault="00B67323"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Need more information.</w:t>
            </w:r>
          </w:p>
        </w:tc>
        <w:tc>
          <w:tcPr>
            <w:tcW w:w="1710" w:type="dxa"/>
          </w:tcPr>
          <w:p w14:paraId="4263827D" w14:textId="211E1DD2" w:rsidR="00F320E6" w:rsidRDefault="00B67323"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Need more information.</w:t>
            </w:r>
          </w:p>
        </w:tc>
        <w:tc>
          <w:tcPr>
            <w:tcW w:w="1800" w:type="dxa"/>
          </w:tcPr>
          <w:p w14:paraId="7E91DED5" w14:textId="4CFF20EB" w:rsidR="00F320E6" w:rsidRDefault="00B67323"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Need more information.</w:t>
            </w:r>
          </w:p>
        </w:tc>
        <w:tc>
          <w:tcPr>
            <w:tcW w:w="1540" w:type="dxa"/>
          </w:tcPr>
          <w:p w14:paraId="3D1E8106" w14:textId="2E386CD8" w:rsidR="00F320E6" w:rsidRDefault="00B67323"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Need more information.</w:t>
            </w:r>
          </w:p>
        </w:tc>
      </w:tr>
      <w:tr w:rsidR="00584D92" w:rsidRPr="00655FDE" w14:paraId="280B375B" w14:textId="77777777" w:rsidTr="006D5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0" w:type="dxa"/>
          </w:tcPr>
          <w:p w14:paraId="0E8FCAEB" w14:textId="16408358" w:rsidR="00584D92" w:rsidRPr="00FC0DA6" w:rsidRDefault="00584D92" w:rsidP="00D42FEA">
            <w:pPr>
              <w:rPr>
                <w:b w:val="0"/>
                <w:sz w:val="24"/>
                <w:szCs w:val="24"/>
              </w:rPr>
            </w:pPr>
            <w:r w:rsidRPr="00FC0DA6">
              <w:rPr>
                <w:rFonts w:asciiTheme="minorHAnsi" w:hAnsiTheme="minorHAnsi"/>
                <w:sz w:val="24"/>
                <w:szCs w:val="24"/>
              </w:rPr>
              <w:t>U.S. Securities and Exchange Commission: Escheatment Process.</w:t>
            </w:r>
            <w:r w:rsidRPr="00FC0DA6">
              <w:rPr>
                <w:b w:val="0"/>
                <w:sz w:val="24"/>
                <w:szCs w:val="24"/>
              </w:rPr>
              <w:t xml:space="preserve"> All states require financial institutions, including brokerage firms, to report when personal property has been abandoned or unclaimed after a period </w:t>
            </w:r>
            <w:r w:rsidRPr="00FC0DA6">
              <w:rPr>
                <w:b w:val="0"/>
                <w:sz w:val="24"/>
                <w:szCs w:val="24"/>
              </w:rPr>
              <w:lastRenderedPageBreak/>
              <w:t xml:space="preserve">of time specified by state law – often five years. </w:t>
            </w:r>
            <w:r w:rsidRPr="00FC0DA6">
              <w:rPr>
                <w:b w:val="0"/>
                <w:sz w:val="24"/>
                <w:szCs w:val="24"/>
                <w:lang w:val="en"/>
              </w:rPr>
              <w:t>Before a brokerage account can be considered abandoned or unclaimed, the firm must make a diligent effort to try to locate the account owner. If the firm is unable to do so, and the account has remained inactive for the period of time specified by state law, the firm must report the account to the state where the account is held. The state then claims the account through a process called "escheatment," whereby the state becomes the owner of the account.</w:t>
            </w:r>
          </w:p>
        </w:tc>
        <w:tc>
          <w:tcPr>
            <w:tcW w:w="2430" w:type="dxa"/>
          </w:tcPr>
          <w:p w14:paraId="3D685E61" w14:textId="5B47414C" w:rsidR="00584D92" w:rsidRDefault="00B67323" w:rsidP="002453C4">
            <w:pPr>
              <w:cnfStyle w:val="000000100000" w:firstRow="0" w:lastRow="0" w:firstColumn="0" w:lastColumn="0" w:oddVBand="0" w:evenVBand="0" w:oddHBand="1" w:evenHBand="0" w:firstRowFirstColumn="0" w:firstRowLastColumn="0" w:lastRowFirstColumn="0" w:lastRowLastColumn="0"/>
              <w:rPr>
                <w:szCs w:val="22"/>
              </w:rPr>
            </w:pPr>
            <w:r>
              <w:rPr>
                <w:szCs w:val="22"/>
              </w:rPr>
              <w:lastRenderedPageBreak/>
              <w:t>Need more information.</w:t>
            </w:r>
          </w:p>
        </w:tc>
        <w:tc>
          <w:tcPr>
            <w:tcW w:w="1710" w:type="dxa"/>
          </w:tcPr>
          <w:p w14:paraId="67F9943D" w14:textId="40087417" w:rsidR="00584D92" w:rsidRDefault="00B67323" w:rsidP="002453C4">
            <w:pPr>
              <w:cnfStyle w:val="000000100000" w:firstRow="0" w:lastRow="0" w:firstColumn="0" w:lastColumn="0" w:oddVBand="0" w:evenVBand="0" w:oddHBand="1" w:evenHBand="0" w:firstRowFirstColumn="0" w:firstRowLastColumn="0" w:lastRowFirstColumn="0" w:lastRowLastColumn="0"/>
              <w:rPr>
                <w:szCs w:val="22"/>
              </w:rPr>
            </w:pPr>
            <w:r>
              <w:rPr>
                <w:szCs w:val="22"/>
              </w:rPr>
              <w:t>Need more information.</w:t>
            </w:r>
          </w:p>
        </w:tc>
        <w:tc>
          <w:tcPr>
            <w:tcW w:w="1800" w:type="dxa"/>
          </w:tcPr>
          <w:p w14:paraId="6CB8E2AA" w14:textId="02853F74" w:rsidR="00584D92" w:rsidRDefault="00B67323" w:rsidP="002453C4">
            <w:pPr>
              <w:cnfStyle w:val="000000100000" w:firstRow="0" w:lastRow="0" w:firstColumn="0" w:lastColumn="0" w:oddVBand="0" w:evenVBand="0" w:oddHBand="1" w:evenHBand="0" w:firstRowFirstColumn="0" w:firstRowLastColumn="0" w:lastRowFirstColumn="0" w:lastRowLastColumn="0"/>
              <w:rPr>
                <w:szCs w:val="22"/>
              </w:rPr>
            </w:pPr>
            <w:r>
              <w:rPr>
                <w:szCs w:val="22"/>
              </w:rPr>
              <w:t>Need more information.</w:t>
            </w:r>
          </w:p>
        </w:tc>
        <w:tc>
          <w:tcPr>
            <w:tcW w:w="1540" w:type="dxa"/>
          </w:tcPr>
          <w:p w14:paraId="0BDC934A" w14:textId="1738ED2B" w:rsidR="00584D92" w:rsidRDefault="00B67323" w:rsidP="002453C4">
            <w:pPr>
              <w:cnfStyle w:val="000000100000" w:firstRow="0" w:lastRow="0" w:firstColumn="0" w:lastColumn="0" w:oddVBand="0" w:evenVBand="0" w:oddHBand="1" w:evenHBand="0" w:firstRowFirstColumn="0" w:firstRowLastColumn="0" w:lastRowFirstColumn="0" w:lastRowLastColumn="0"/>
              <w:rPr>
                <w:szCs w:val="22"/>
              </w:rPr>
            </w:pPr>
            <w:r>
              <w:rPr>
                <w:szCs w:val="22"/>
              </w:rPr>
              <w:t>Need more information.</w:t>
            </w:r>
          </w:p>
        </w:tc>
      </w:tr>
      <w:tr w:rsidR="009C7502" w:rsidRPr="00655FDE" w14:paraId="7485F6C8" w14:textId="77777777" w:rsidTr="006D5A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0" w:type="dxa"/>
          </w:tcPr>
          <w:p w14:paraId="1061106E" w14:textId="75CD30E2" w:rsidR="009C7502" w:rsidRPr="00EC4C12" w:rsidRDefault="009C7502" w:rsidP="00D42FEA">
            <w:pPr>
              <w:rPr>
                <w:rFonts w:asciiTheme="minorHAnsi" w:hAnsiTheme="minorHAnsi"/>
                <w:b w:val="0"/>
                <w:sz w:val="24"/>
                <w:szCs w:val="24"/>
              </w:rPr>
            </w:pPr>
            <w:r>
              <w:rPr>
                <w:rFonts w:asciiTheme="minorHAnsi" w:hAnsiTheme="minorHAnsi"/>
                <w:sz w:val="24"/>
                <w:szCs w:val="24"/>
              </w:rPr>
              <w:t xml:space="preserve">Industry: </w:t>
            </w:r>
            <w:r w:rsidR="00EC4C12">
              <w:rPr>
                <w:rFonts w:asciiTheme="minorHAnsi" w:hAnsiTheme="minorHAnsi"/>
                <w:b w:val="0"/>
                <w:sz w:val="24"/>
                <w:szCs w:val="24"/>
              </w:rPr>
              <w:t>Record the amount of the outstanding check as a contingent liability. Depending on the state, the outstanding check must continue to be carried as a liability through a specified time period, usually five years. At this time, the amount is remitted to the state (state belonging to the vendor’s last known address. If the address is not available, the debtor’s state). When the payment is sent to the state, the liability becomes a payment and the contingency can be removed from the books.</w:t>
            </w:r>
          </w:p>
        </w:tc>
        <w:tc>
          <w:tcPr>
            <w:tcW w:w="2430" w:type="dxa"/>
          </w:tcPr>
          <w:p w14:paraId="76C016BD" w14:textId="4EB5D86D" w:rsidR="009C7502" w:rsidRDefault="00B67323"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Need more information.</w:t>
            </w:r>
          </w:p>
        </w:tc>
        <w:tc>
          <w:tcPr>
            <w:tcW w:w="1710" w:type="dxa"/>
          </w:tcPr>
          <w:p w14:paraId="42353524" w14:textId="1A3FBC76" w:rsidR="009C7502" w:rsidRDefault="00B67323"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Need more information.</w:t>
            </w:r>
          </w:p>
        </w:tc>
        <w:tc>
          <w:tcPr>
            <w:tcW w:w="1800" w:type="dxa"/>
          </w:tcPr>
          <w:p w14:paraId="0E446FE3" w14:textId="36A10ED4" w:rsidR="009C7502" w:rsidRDefault="00B67323"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Need more information.</w:t>
            </w:r>
          </w:p>
        </w:tc>
        <w:tc>
          <w:tcPr>
            <w:tcW w:w="1540" w:type="dxa"/>
          </w:tcPr>
          <w:p w14:paraId="728507B7" w14:textId="245DB1F4" w:rsidR="009C7502" w:rsidRDefault="00B67323" w:rsidP="002453C4">
            <w:pPr>
              <w:cnfStyle w:val="000000010000" w:firstRow="0" w:lastRow="0" w:firstColumn="0" w:lastColumn="0" w:oddVBand="0" w:evenVBand="0" w:oddHBand="0" w:evenHBand="1" w:firstRowFirstColumn="0" w:firstRowLastColumn="0" w:lastRowFirstColumn="0" w:lastRowLastColumn="0"/>
              <w:rPr>
                <w:szCs w:val="22"/>
              </w:rPr>
            </w:pPr>
            <w:r>
              <w:rPr>
                <w:szCs w:val="22"/>
              </w:rPr>
              <w:t>Need more information.</w:t>
            </w:r>
          </w:p>
        </w:tc>
      </w:tr>
    </w:tbl>
    <w:p w14:paraId="2F8156C1" w14:textId="77777777" w:rsidR="00885F90" w:rsidRDefault="00885F90" w:rsidP="00FE3532">
      <w:pPr>
        <w:pStyle w:val="Heading1"/>
        <w:tabs>
          <w:tab w:val="left" w:pos="6675"/>
        </w:tabs>
        <w:ind w:left="-2160" w:firstLine="180"/>
        <w:rPr>
          <w:sz w:val="24"/>
        </w:rPr>
      </w:pPr>
    </w:p>
    <w:p w14:paraId="4EB467A8" w14:textId="77FFE857" w:rsidR="00FE3532" w:rsidRDefault="006A5955" w:rsidP="00FE3532">
      <w:pPr>
        <w:pStyle w:val="Heading1"/>
        <w:tabs>
          <w:tab w:val="left" w:pos="6675"/>
        </w:tabs>
        <w:ind w:left="-2160" w:firstLine="180"/>
        <w:rPr>
          <w:rFonts w:ascii="Garamond" w:hAnsi="Garamond"/>
          <w:bCs w:val="0"/>
          <w:color w:val="auto"/>
          <w:kern w:val="0"/>
          <w:sz w:val="24"/>
          <w:szCs w:val="20"/>
        </w:rPr>
      </w:pPr>
      <w:r>
        <w:rPr>
          <w:sz w:val="24"/>
        </w:rPr>
        <w:t>Discussion</w:t>
      </w:r>
      <w:r w:rsidR="00FE3532" w:rsidRPr="007B3038">
        <w:rPr>
          <w:rFonts w:ascii="Garamond" w:hAnsi="Garamond"/>
          <w:bCs w:val="0"/>
          <w:color w:val="auto"/>
          <w:kern w:val="0"/>
          <w:sz w:val="24"/>
          <w:szCs w:val="20"/>
        </w:rPr>
        <w:t xml:space="preserve"> </w:t>
      </w:r>
    </w:p>
    <w:p w14:paraId="224C4C3F" w14:textId="6C73181B" w:rsidR="00B55DE6" w:rsidRDefault="00FC0DA6" w:rsidP="000F40A4">
      <w:pPr>
        <w:ind w:left="-810"/>
        <w:rPr>
          <w:sz w:val="24"/>
        </w:rPr>
      </w:pPr>
      <w:r>
        <w:rPr>
          <w:sz w:val="24"/>
        </w:rPr>
        <w:t>Although the FMR does not include specific guidance on the treatment of stale checks, it does include the treatment of cash belonging to deceased or missing persons.</w:t>
      </w:r>
      <w:r w:rsidR="00B9546B">
        <w:rPr>
          <w:sz w:val="24"/>
        </w:rPr>
        <w:t xml:space="preserve"> In this case, the funds are to be collected in a deposit fund account for up to a year and subsequently transferred into Payment of Unclaimed Moneys account or Forfeitures of Unclaimed Money and Property. Amounts deposited into these accounts should be tracked by person. Similarly, under the FMR, unpaid compensation is to be placed in a deposit fund suspense account for up to a year and then transferred out. Transferred funds should either go to the Payment of Unclaimed Moneys account or Forfeitures of Unclaimed Money and Property. In the commercial industry, including banking, stale checks</w:t>
      </w:r>
      <w:r w:rsidR="002B104C">
        <w:rPr>
          <w:sz w:val="24"/>
        </w:rPr>
        <w:t>/unclaimed property</w:t>
      </w:r>
      <w:r w:rsidR="00B9546B">
        <w:rPr>
          <w:sz w:val="24"/>
        </w:rPr>
        <w:t xml:space="preserve"> are typically held as a liability for a period specified by the State. After that specified period, the funds are paid to the State and the liability is removed from the books. </w:t>
      </w:r>
    </w:p>
    <w:p w14:paraId="6415C827" w14:textId="77777777" w:rsidR="00B55DE6" w:rsidRPr="007B3038" w:rsidRDefault="00B55DE6" w:rsidP="00B55DE6">
      <w:pPr>
        <w:ind w:left="-810"/>
        <w:rPr>
          <w:sz w:val="24"/>
        </w:rPr>
      </w:pPr>
      <w:r>
        <w:rPr>
          <w:sz w:val="24"/>
        </w:rPr>
        <w:t xml:space="preserve">From the NAFSGL off-site discussion of this issue, the Navy, Army, and Air Force stated that they had required employees use direct deposit, and had thus minimized the number of written checks to just the first or second paycheck. </w:t>
      </w:r>
    </w:p>
    <w:p w14:paraId="4F2E364F" w14:textId="77777777" w:rsidR="00885F90" w:rsidRDefault="00885F90" w:rsidP="00FE3532">
      <w:pPr>
        <w:pStyle w:val="Heading1"/>
        <w:tabs>
          <w:tab w:val="left" w:pos="6675"/>
        </w:tabs>
        <w:ind w:left="-2160" w:firstLine="180"/>
        <w:rPr>
          <w:sz w:val="24"/>
        </w:rPr>
      </w:pPr>
    </w:p>
    <w:p w14:paraId="4EB467AB" w14:textId="6C3BDA2F" w:rsidR="00FE3532" w:rsidRDefault="006A5955" w:rsidP="00FE3532">
      <w:pPr>
        <w:pStyle w:val="Heading1"/>
        <w:tabs>
          <w:tab w:val="left" w:pos="6675"/>
        </w:tabs>
        <w:ind w:left="-2160" w:firstLine="180"/>
        <w:rPr>
          <w:sz w:val="24"/>
        </w:rPr>
      </w:pPr>
      <w:r>
        <w:rPr>
          <w:sz w:val="24"/>
        </w:rPr>
        <w:t>Recommendation</w:t>
      </w:r>
    </w:p>
    <w:p w14:paraId="747B5A24" w14:textId="4F3E43C1" w:rsidR="008C3E22" w:rsidRDefault="00B55DE6" w:rsidP="000A730C">
      <w:pPr>
        <w:ind w:left="-810"/>
        <w:rPr>
          <w:rFonts w:asciiTheme="minorHAnsi" w:hAnsiTheme="minorHAnsi"/>
          <w:sz w:val="24"/>
        </w:rPr>
      </w:pPr>
      <w:r>
        <w:rPr>
          <w:sz w:val="24"/>
        </w:rPr>
        <w:t>We recommend that the Services all require employees to use direct deposit</w:t>
      </w:r>
      <w:r w:rsidR="00A35409">
        <w:rPr>
          <w:sz w:val="24"/>
        </w:rPr>
        <w:t xml:space="preserve"> to reduce the number of stale checks, and that </w:t>
      </w:r>
      <w:r>
        <w:rPr>
          <w:sz w:val="24"/>
        </w:rPr>
        <w:t xml:space="preserve">OSD note this requirement in the </w:t>
      </w:r>
      <w:r w:rsidR="008703C6">
        <w:rPr>
          <w:sz w:val="24"/>
        </w:rPr>
        <w:t xml:space="preserve">DoDI </w:t>
      </w:r>
      <w:r>
        <w:rPr>
          <w:sz w:val="24"/>
        </w:rPr>
        <w:t>1015.15 in the personnel section</w:t>
      </w:r>
      <w:r w:rsidR="00A35409">
        <w:rPr>
          <w:sz w:val="24"/>
        </w:rPr>
        <w:t xml:space="preserve">. Additionally, we recommend the </w:t>
      </w:r>
      <w:r w:rsidR="008703C6">
        <w:rPr>
          <w:sz w:val="24"/>
        </w:rPr>
        <w:t xml:space="preserve">DoDI </w:t>
      </w:r>
      <w:r w:rsidR="00A35409">
        <w:rPr>
          <w:sz w:val="24"/>
        </w:rPr>
        <w:t>1015.15 be amended to add guidance on how to handle stale checks</w:t>
      </w:r>
      <w:r w:rsidR="005428E5">
        <w:rPr>
          <w:sz w:val="24"/>
        </w:rPr>
        <w:t xml:space="preserve"> related to employees as well as vendors. </w:t>
      </w:r>
      <w:r w:rsidR="00A35409">
        <w:rPr>
          <w:sz w:val="24"/>
        </w:rPr>
        <w:t xml:space="preserve">This </w:t>
      </w:r>
      <w:r w:rsidR="00FC0DA6">
        <w:rPr>
          <w:sz w:val="24"/>
        </w:rPr>
        <w:t>policy should include the timeframe</w:t>
      </w:r>
      <w:r w:rsidR="005428E5">
        <w:rPr>
          <w:sz w:val="24"/>
        </w:rPr>
        <w:t xml:space="preserve"> of </w:t>
      </w:r>
      <w:r w:rsidR="00FE7C08">
        <w:rPr>
          <w:sz w:val="24"/>
        </w:rPr>
        <w:t xml:space="preserve">up to </w:t>
      </w:r>
      <w:r w:rsidR="005428E5">
        <w:rPr>
          <w:sz w:val="24"/>
        </w:rPr>
        <w:t>one (1) year for outstanding checks to remain in a liability account</w:t>
      </w:r>
      <w:r w:rsidR="00FE7C08">
        <w:rPr>
          <w:sz w:val="24"/>
        </w:rPr>
        <w:t xml:space="preserve">. However, the Services may implement a more restrictive cut-off date for outstanding </w:t>
      </w:r>
      <w:r w:rsidR="00FE7C08">
        <w:rPr>
          <w:sz w:val="24"/>
        </w:rPr>
        <w:lastRenderedPageBreak/>
        <w:t>checks to remain in the liability account.</w:t>
      </w:r>
      <w:r w:rsidR="00A35409">
        <w:rPr>
          <w:sz w:val="24"/>
        </w:rPr>
        <w:t xml:space="preserve"> </w:t>
      </w:r>
      <w:r w:rsidR="00FE7C08">
        <w:rPr>
          <w:sz w:val="24"/>
        </w:rPr>
        <w:t>The policy should also include the</w:t>
      </w:r>
      <w:r w:rsidR="00A35409">
        <w:rPr>
          <w:sz w:val="24"/>
        </w:rPr>
        <w:t xml:space="preserve"> liability account </w:t>
      </w:r>
      <w:r w:rsidR="00FE7C08">
        <w:rPr>
          <w:sz w:val="24"/>
        </w:rPr>
        <w:t xml:space="preserve">that </w:t>
      </w:r>
      <w:r w:rsidR="00A35409">
        <w:rPr>
          <w:sz w:val="24"/>
        </w:rPr>
        <w:t>will be used</w:t>
      </w:r>
      <w:bookmarkStart w:id="0" w:name="_GoBack"/>
      <w:bookmarkEnd w:id="0"/>
      <w:r w:rsidR="00A35409">
        <w:rPr>
          <w:sz w:val="24"/>
        </w:rPr>
        <w:t xml:space="preserve"> and general guidance on the process of remitting the money to the debtor’s </w:t>
      </w:r>
      <w:r w:rsidR="005428E5">
        <w:rPr>
          <w:sz w:val="24"/>
        </w:rPr>
        <w:t>s</w:t>
      </w:r>
      <w:r w:rsidR="00A35409">
        <w:rPr>
          <w:sz w:val="24"/>
        </w:rPr>
        <w:t>tate. We recommend</w:t>
      </w:r>
      <w:r w:rsidR="005F2652">
        <w:rPr>
          <w:sz w:val="24"/>
        </w:rPr>
        <w:t xml:space="preserve"> that unclaimed property/stale checks continue to be tracked by individual</w:t>
      </w:r>
      <w:r w:rsidR="0032200B">
        <w:rPr>
          <w:sz w:val="24"/>
        </w:rPr>
        <w:t>/vendor</w:t>
      </w:r>
      <w:r w:rsidR="005F2652">
        <w:rPr>
          <w:sz w:val="24"/>
        </w:rPr>
        <w:t>.</w:t>
      </w:r>
    </w:p>
    <w:p w14:paraId="4EB467AD" w14:textId="34E15270" w:rsidR="001F06DE" w:rsidRPr="00CE3032" w:rsidRDefault="001F06DE" w:rsidP="00FF5F7E">
      <w:pPr>
        <w:spacing w:after="240"/>
        <w:rPr>
          <w:rFonts w:asciiTheme="minorHAnsi" w:hAnsiTheme="minorHAnsi"/>
          <w:sz w:val="24"/>
        </w:rPr>
      </w:pPr>
    </w:p>
    <w:p w14:paraId="4EB467AE" w14:textId="1534A403" w:rsidR="006A5955" w:rsidRDefault="006A5955" w:rsidP="00885F90">
      <w:pPr>
        <w:pStyle w:val="Heading1"/>
        <w:tabs>
          <w:tab w:val="left" w:pos="6675"/>
        </w:tabs>
        <w:ind w:left="-2160" w:firstLine="180"/>
        <w:rPr>
          <w:sz w:val="24"/>
        </w:rPr>
      </w:pPr>
      <w:r>
        <w:rPr>
          <w:sz w:val="24"/>
        </w:rPr>
        <w:t>Service Concurrence</w:t>
      </w:r>
    </w:p>
    <w:tbl>
      <w:tblPr>
        <w:tblStyle w:val="TableGrid"/>
        <w:tblW w:w="0" w:type="auto"/>
        <w:tblInd w:w="-1173" w:type="dxa"/>
        <w:tblLook w:val="04A0" w:firstRow="1" w:lastRow="0" w:firstColumn="1" w:lastColumn="0" w:noHBand="0" w:noVBand="1"/>
      </w:tblPr>
      <w:tblGrid>
        <w:gridCol w:w="1918"/>
        <w:gridCol w:w="2670"/>
        <w:gridCol w:w="7471"/>
      </w:tblGrid>
      <w:tr w:rsidR="00885F90" w14:paraId="4EB467B2" w14:textId="77777777" w:rsidTr="006F355C">
        <w:tc>
          <w:tcPr>
            <w:tcW w:w="19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AF" w14:textId="77777777" w:rsidR="00885F90" w:rsidRDefault="00885F90" w:rsidP="003C3A5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Service</w:t>
            </w:r>
          </w:p>
        </w:tc>
        <w:tc>
          <w:tcPr>
            <w:tcW w:w="2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B0" w14:textId="2BFDE81F" w:rsidR="00885F90" w:rsidRDefault="00885F90" w:rsidP="003C3A5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Concurrence</w:t>
            </w:r>
          </w:p>
        </w:tc>
        <w:tc>
          <w:tcPr>
            <w:tcW w:w="74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B1" w14:textId="4CF83345" w:rsidR="00885F90" w:rsidRDefault="00885F90" w:rsidP="00205006">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Reason for Non-concurrence</w:t>
            </w:r>
          </w:p>
        </w:tc>
      </w:tr>
      <w:tr w:rsidR="00885F90" w14:paraId="4EB467B6" w14:textId="77777777" w:rsidTr="006F355C">
        <w:trPr>
          <w:trHeight w:val="444"/>
        </w:trPr>
        <w:tc>
          <w:tcPr>
            <w:tcW w:w="1918" w:type="dxa"/>
            <w:tcBorders>
              <w:top w:val="single" w:sz="4" w:space="0" w:color="auto"/>
              <w:left w:val="single" w:sz="4" w:space="0" w:color="auto"/>
              <w:bottom w:val="single" w:sz="4" w:space="0" w:color="auto"/>
              <w:right w:val="single" w:sz="4" w:space="0" w:color="auto"/>
            </w:tcBorders>
            <w:hideMark/>
          </w:tcPr>
          <w:p w14:paraId="4EB467B3" w14:textId="77777777" w:rsidR="00885F90" w:rsidRDefault="00885F90"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Air Force</w:t>
            </w:r>
          </w:p>
        </w:tc>
        <w:tc>
          <w:tcPr>
            <w:tcW w:w="2670" w:type="dxa"/>
            <w:tcBorders>
              <w:top w:val="single" w:sz="4" w:space="0" w:color="auto"/>
              <w:left w:val="single" w:sz="4" w:space="0" w:color="auto"/>
              <w:bottom w:val="single" w:sz="4" w:space="0" w:color="auto"/>
              <w:right w:val="single" w:sz="4" w:space="0" w:color="auto"/>
            </w:tcBorders>
          </w:tcPr>
          <w:p w14:paraId="4EB467B4" w14:textId="661929CF" w:rsidR="00885F90" w:rsidRPr="006F355C" w:rsidRDefault="006F355C" w:rsidP="00FB70DD">
            <w:pPr>
              <w:pStyle w:val="Heading1"/>
              <w:tabs>
                <w:tab w:val="left" w:pos="6675"/>
              </w:tabs>
              <w:rPr>
                <w:rFonts w:asciiTheme="minorHAnsi" w:hAnsiTheme="minorHAnsi" w:cstheme="majorHAnsi"/>
                <w:b/>
                <w:color w:val="auto"/>
                <w:sz w:val="24"/>
              </w:rPr>
            </w:pPr>
            <w:r w:rsidRPr="006F355C">
              <w:rPr>
                <w:rFonts w:asciiTheme="minorHAnsi" w:hAnsiTheme="minorHAnsi" w:cstheme="majorHAnsi"/>
                <w:b/>
                <w:color w:val="auto"/>
                <w:sz w:val="24"/>
              </w:rPr>
              <w:t>Concurred 12/13/2018.</w:t>
            </w:r>
          </w:p>
        </w:tc>
        <w:tc>
          <w:tcPr>
            <w:tcW w:w="7471" w:type="dxa"/>
            <w:tcBorders>
              <w:top w:val="single" w:sz="4" w:space="0" w:color="auto"/>
              <w:left w:val="single" w:sz="4" w:space="0" w:color="auto"/>
              <w:bottom w:val="single" w:sz="4" w:space="0" w:color="auto"/>
              <w:right w:val="single" w:sz="4" w:space="0" w:color="auto"/>
            </w:tcBorders>
          </w:tcPr>
          <w:p w14:paraId="4EB467B5" w14:textId="7A996056" w:rsidR="00885F90" w:rsidRDefault="00885F90" w:rsidP="003C3A5C">
            <w:pPr>
              <w:pStyle w:val="Heading1"/>
              <w:tabs>
                <w:tab w:val="left" w:pos="6675"/>
              </w:tabs>
              <w:rPr>
                <w:rFonts w:asciiTheme="minorHAnsi" w:hAnsiTheme="minorHAnsi" w:cstheme="majorHAnsi"/>
                <w:color w:val="auto"/>
                <w:sz w:val="24"/>
              </w:rPr>
            </w:pPr>
          </w:p>
        </w:tc>
      </w:tr>
      <w:tr w:rsidR="00885F90" w14:paraId="4EB467BA" w14:textId="77777777" w:rsidTr="006F355C">
        <w:trPr>
          <w:trHeight w:val="444"/>
        </w:trPr>
        <w:tc>
          <w:tcPr>
            <w:tcW w:w="1918" w:type="dxa"/>
            <w:tcBorders>
              <w:top w:val="single" w:sz="4" w:space="0" w:color="auto"/>
              <w:left w:val="single" w:sz="4" w:space="0" w:color="auto"/>
              <w:bottom w:val="single" w:sz="4" w:space="0" w:color="auto"/>
              <w:right w:val="single" w:sz="4" w:space="0" w:color="auto"/>
            </w:tcBorders>
            <w:hideMark/>
          </w:tcPr>
          <w:p w14:paraId="4EB467B7" w14:textId="77777777" w:rsidR="00885F90" w:rsidRDefault="00885F90"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Army</w:t>
            </w:r>
          </w:p>
        </w:tc>
        <w:tc>
          <w:tcPr>
            <w:tcW w:w="2670" w:type="dxa"/>
            <w:tcBorders>
              <w:top w:val="single" w:sz="4" w:space="0" w:color="auto"/>
              <w:left w:val="single" w:sz="4" w:space="0" w:color="auto"/>
              <w:bottom w:val="single" w:sz="4" w:space="0" w:color="auto"/>
              <w:right w:val="single" w:sz="4" w:space="0" w:color="auto"/>
            </w:tcBorders>
          </w:tcPr>
          <w:p w14:paraId="4EB467B8" w14:textId="09D9B80D" w:rsidR="00885F90" w:rsidRPr="005A101B" w:rsidRDefault="006F355C" w:rsidP="00FC64A5">
            <w:pPr>
              <w:pStyle w:val="Heading1"/>
              <w:tabs>
                <w:tab w:val="left" w:pos="6675"/>
              </w:tabs>
              <w:rPr>
                <w:rFonts w:asciiTheme="minorHAnsi" w:hAnsiTheme="minorHAnsi" w:cstheme="majorHAnsi"/>
                <w:color w:val="auto"/>
                <w:sz w:val="24"/>
              </w:rPr>
            </w:pPr>
            <w:r w:rsidRPr="006F355C">
              <w:rPr>
                <w:rFonts w:asciiTheme="minorHAnsi" w:hAnsiTheme="minorHAnsi" w:cstheme="majorHAnsi"/>
                <w:b/>
                <w:color w:val="auto"/>
                <w:sz w:val="24"/>
              </w:rPr>
              <w:t xml:space="preserve">Concurred </w:t>
            </w:r>
            <w:r>
              <w:rPr>
                <w:rFonts w:asciiTheme="minorHAnsi" w:hAnsiTheme="minorHAnsi" w:cstheme="majorHAnsi"/>
                <w:b/>
                <w:color w:val="auto"/>
                <w:sz w:val="24"/>
              </w:rPr>
              <w:t>10/25</w:t>
            </w:r>
            <w:r w:rsidRPr="006F355C">
              <w:rPr>
                <w:rFonts w:asciiTheme="minorHAnsi" w:hAnsiTheme="minorHAnsi" w:cstheme="majorHAnsi"/>
                <w:b/>
                <w:color w:val="auto"/>
                <w:sz w:val="24"/>
              </w:rPr>
              <w:t>/2018.</w:t>
            </w:r>
          </w:p>
        </w:tc>
        <w:tc>
          <w:tcPr>
            <w:tcW w:w="7471" w:type="dxa"/>
            <w:tcBorders>
              <w:top w:val="single" w:sz="4" w:space="0" w:color="auto"/>
              <w:left w:val="single" w:sz="4" w:space="0" w:color="auto"/>
              <w:bottom w:val="single" w:sz="4" w:space="0" w:color="auto"/>
              <w:right w:val="single" w:sz="4" w:space="0" w:color="auto"/>
            </w:tcBorders>
          </w:tcPr>
          <w:p w14:paraId="4EB467B9" w14:textId="1F4F9DF4" w:rsidR="00885F90" w:rsidRDefault="00885F90" w:rsidP="003C3A5C">
            <w:pPr>
              <w:pStyle w:val="Heading1"/>
              <w:tabs>
                <w:tab w:val="left" w:pos="6675"/>
              </w:tabs>
              <w:rPr>
                <w:rFonts w:asciiTheme="minorHAnsi" w:hAnsiTheme="minorHAnsi" w:cstheme="majorHAnsi"/>
                <w:color w:val="auto"/>
                <w:sz w:val="24"/>
              </w:rPr>
            </w:pPr>
          </w:p>
        </w:tc>
      </w:tr>
      <w:tr w:rsidR="006F355C" w14:paraId="4EB467BE" w14:textId="77777777" w:rsidTr="006F355C">
        <w:trPr>
          <w:trHeight w:val="435"/>
        </w:trPr>
        <w:tc>
          <w:tcPr>
            <w:tcW w:w="1918" w:type="dxa"/>
            <w:tcBorders>
              <w:top w:val="single" w:sz="4" w:space="0" w:color="auto"/>
              <w:left w:val="single" w:sz="4" w:space="0" w:color="auto"/>
              <w:bottom w:val="single" w:sz="4" w:space="0" w:color="auto"/>
              <w:right w:val="single" w:sz="4" w:space="0" w:color="auto"/>
            </w:tcBorders>
            <w:hideMark/>
          </w:tcPr>
          <w:p w14:paraId="4EB467BB" w14:textId="77777777" w:rsidR="006F355C" w:rsidRDefault="006F355C" w:rsidP="006F35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 xml:space="preserve">Marines </w:t>
            </w:r>
          </w:p>
        </w:tc>
        <w:tc>
          <w:tcPr>
            <w:tcW w:w="2670" w:type="dxa"/>
            <w:tcBorders>
              <w:top w:val="single" w:sz="4" w:space="0" w:color="auto"/>
              <w:left w:val="single" w:sz="4" w:space="0" w:color="auto"/>
              <w:bottom w:val="single" w:sz="4" w:space="0" w:color="auto"/>
              <w:right w:val="single" w:sz="4" w:space="0" w:color="auto"/>
            </w:tcBorders>
          </w:tcPr>
          <w:p w14:paraId="4EB467BC" w14:textId="2FBEBBE8" w:rsidR="006F355C" w:rsidRPr="005A101B" w:rsidRDefault="006F355C" w:rsidP="006F355C">
            <w:pPr>
              <w:pStyle w:val="Heading1"/>
              <w:tabs>
                <w:tab w:val="left" w:pos="6675"/>
              </w:tabs>
              <w:rPr>
                <w:rFonts w:asciiTheme="minorHAnsi" w:hAnsiTheme="minorHAnsi" w:cstheme="majorHAnsi"/>
                <w:color w:val="auto"/>
                <w:sz w:val="24"/>
              </w:rPr>
            </w:pPr>
            <w:r w:rsidRPr="006F355C">
              <w:rPr>
                <w:rFonts w:asciiTheme="minorHAnsi" w:hAnsiTheme="minorHAnsi" w:cstheme="majorHAnsi"/>
                <w:b/>
                <w:color w:val="auto"/>
                <w:sz w:val="24"/>
              </w:rPr>
              <w:t xml:space="preserve">Concurred </w:t>
            </w:r>
            <w:r>
              <w:rPr>
                <w:rFonts w:asciiTheme="minorHAnsi" w:hAnsiTheme="minorHAnsi" w:cstheme="majorHAnsi"/>
                <w:b/>
                <w:color w:val="auto"/>
                <w:sz w:val="24"/>
              </w:rPr>
              <w:t>10/25</w:t>
            </w:r>
            <w:r w:rsidRPr="006F355C">
              <w:rPr>
                <w:rFonts w:asciiTheme="minorHAnsi" w:hAnsiTheme="minorHAnsi" w:cstheme="majorHAnsi"/>
                <w:b/>
                <w:color w:val="auto"/>
                <w:sz w:val="24"/>
              </w:rPr>
              <w:t>/2018.</w:t>
            </w:r>
          </w:p>
        </w:tc>
        <w:tc>
          <w:tcPr>
            <w:tcW w:w="7471" w:type="dxa"/>
            <w:tcBorders>
              <w:top w:val="single" w:sz="4" w:space="0" w:color="auto"/>
              <w:left w:val="single" w:sz="4" w:space="0" w:color="auto"/>
              <w:bottom w:val="single" w:sz="4" w:space="0" w:color="auto"/>
              <w:right w:val="single" w:sz="4" w:space="0" w:color="auto"/>
            </w:tcBorders>
          </w:tcPr>
          <w:p w14:paraId="4EB467BD" w14:textId="76491909" w:rsidR="006F355C" w:rsidRDefault="006F355C" w:rsidP="006F355C">
            <w:pPr>
              <w:pStyle w:val="Heading1"/>
              <w:tabs>
                <w:tab w:val="left" w:pos="6675"/>
              </w:tabs>
              <w:rPr>
                <w:rFonts w:asciiTheme="minorHAnsi" w:hAnsiTheme="minorHAnsi" w:cstheme="majorHAnsi"/>
                <w:color w:val="auto"/>
                <w:sz w:val="24"/>
              </w:rPr>
            </w:pPr>
          </w:p>
        </w:tc>
      </w:tr>
      <w:tr w:rsidR="006F355C" w14:paraId="4EB467C2" w14:textId="77777777" w:rsidTr="006F355C">
        <w:trPr>
          <w:trHeight w:val="435"/>
        </w:trPr>
        <w:tc>
          <w:tcPr>
            <w:tcW w:w="1918" w:type="dxa"/>
            <w:tcBorders>
              <w:top w:val="single" w:sz="4" w:space="0" w:color="auto"/>
              <w:left w:val="single" w:sz="4" w:space="0" w:color="auto"/>
              <w:bottom w:val="single" w:sz="4" w:space="0" w:color="auto"/>
              <w:right w:val="single" w:sz="4" w:space="0" w:color="auto"/>
            </w:tcBorders>
            <w:hideMark/>
          </w:tcPr>
          <w:p w14:paraId="4EB467BF" w14:textId="77777777" w:rsidR="006F355C" w:rsidRDefault="006F355C" w:rsidP="006F35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Navy</w:t>
            </w:r>
          </w:p>
        </w:tc>
        <w:tc>
          <w:tcPr>
            <w:tcW w:w="2670" w:type="dxa"/>
            <w:tcBorders>
              <w:top w:val="single" w:sz="4" w:space="0" w:color="auto"/>
              <w:left w:val="single" w:sz="4" w:space="0" w:color="auto"/>
              <w:bottom w:val="single" w:sz="4" w:space="0" w:color="auto"/>
              <w:right w:val="single" w:sz="4" w:space="0" w:color="auto"/>
            </w:tcBorders>
          </w:tcPr>
          <w:p w14:paraId="4EB467C0" w14:textId="7CE5B5DF" w:rsidR="006F355C" w:rsidRPr="005A101B" w:rsidRDefault="006F355C" w:rsidP="006F355C">
            <w:pPr>
              <w:pStyle w:val="Heading1"/>
              <w:tabs>
                <w:tab w:val="left" w:pos="6675"/>
              </w:tabs>
              <w:rPr>
                <w:rFonts w:asciiTheme="minorHAnsi" w:hAnsiTheme="minorHAnsi" w:cstheme="majorHAnsi"/>
                <w:color w:val="auto"/>
                <w:sz w:val="24"/>
              </w:rPr>
            </w:pPr>
            <w:r w:rsidRPr="006F355C">
              <w:rPr>
                <w:rFonts w:asciiTheme="minorHAnsi" w:hAnsiTheme="minorHAnsi" w:cstheme="majorHAnsi"/>
                <w:b/>
                <w:color w:val="auto"/>
                <w:sz w:val="24"/>
              </w:rPr>
              <w:t xml:space="preserve">Concurred </w:t>
            </w:r>
            <w:r>
              <w:rPr>
                <w:rFonts w:asciiTheme="minorHAnsi" w:hAnsiTheme="minorHAnsi" w:cstheme="majorHAnsi"/>
                <w:b/>
                <w:color w:val="auto"/>
                <w:sz w:val="24"/>
              </w:rPr>
              <w:t>10/25</w:t>
            </w:r>
            <w:r w:rsidRPr="006F355C">
              <w:rPr>
                <w:rFonts w:asciiTheme="minorHAnsi" w:hAnsiTheme="minorHAnsi" w:cstheme="majorHAnsi"/>
                <w:b/>
                <w:color w:val="auto"/>
                <w:sz w:val="24"/>
              </w:rPr>
              <w:t>/2018.</w:t>
            </w:r>
          </w:p>
        </w:tc>
        <w:tc>
          <w:tcPr>
            <w:tcW w:w="7471" w:type="dxa"/>
            <w:tcBorders>
              <w:top w:val="single" w:sz="4" w:space="0" w:color="auto"/>
              <w:left w:val="single" w:sz="4" w:space="0" w:color="auto"/>
              <w:bottom w:val="single" w:sz="4" w:space="0" w:color="auto"/>
              <w:right w:val="single" w:sz="4" w:space="0" w:color="auto"/>
            </w:tcBorders>
          </w:tcPr>
          <w:p w14:paraId="4EB467C1" w14:textId="08F7D5DF" w:rsidR="006F355C" w:rsidRDefault="006F355C" w:rsidP="006F355C">
            <w:pPr>
              <w:pStyle w:val="Heading1"/>
              <w:tabs>
                <w:tab w:val="left" w:pos="6675"/>
              </w:tabs>
              <w:rPr>
                <w:rFonts w:asciiTheme="minorHAnsi" w:hAnsiTheme="minorHAnsi" w:cstheme="majorHAnsi"/>
                <w:color w:val="auto"/>
                <w:sz w:val="24"/>
              </w:rPr>
            </w:pPr>
          </w:p>
        </w:tc>
      </w:tr>
    </w:tbl>
    <w:p w14:paraId="320AD787" w14:textId="77777777" w:rsidR="00885F90" w:rsidRDefault="00885F90" w:rsidP="002453C4">
      <w:pPr>
        <w:pStyle w:val="Heading1"/>
        <w:tabs>
          <w:tab w:val="left" w:pos="6675"/>
        </w:tabs>
        <w:ind w:left="-2160" w:firstLine="180"/>
        <w:rPr>
          <w:sz w:val="24"/>
        </w:rPr>
      </w:pPr>
    </w:p>
    <w:p w14:paraId="4EB467C4" w14:textId="6D2C719F" w:rsidR="002453C4" w:rsidRDefault="008D4FB4" w:rsidP="002453C4">
      <w:pPr>
        <w:pStyle w:val="Heading1"/>
        <w:tabs>
          <w:tab w:val="left" w:pos="6675"/>
        </w:tabs>
        <w:ind w:left="-2160" w:firstLine="180"/>
        <w:rPr>
          <w:sz w:val="24"/>
        </w:rPr>
      </w:pPr>
      <w:r>
        <w:rPr>
          <w:sz w:val="24"/>
        </w:rPr>
        <w:t>USD (</w:t>
      </w:r>
      <w:r w:rsidR="00885F90">
        <w:rPr>
          <w:sz w:val="24"/>
        </w:rPr>
        <w:t>P&amp;R</w:t>
      </w:r>
      <w:r w:rsidR="002453C4">
        <w:rPr>
          <w:sz w:val="24"/>
        </w:rPr>
        <w:t>)</w:t>
      </w:r>
      <w:r w:rsidR="00885F90">
        <w:rPr>
          <w:sz w:val="24"/>
        </w:rPr>
        <w:t>MC&amp;FP Disposition</w:t>
      </w:r>
    </w:p>
    <w:p w14:paraId="5057FDD4" w14:textId="51D0B0FC" w:rsidR="00B12623" w:rsidRPr="00932F0A" w:rsidRDefault="00B12623" w:rsidP="00B12623">
      <w:pPr>
        <w:pStyle w:val="ChapterTitle"/>
        <w:rPr>
          <w:rFonts w:asciiTheme="minorHAnsi" w:hAnsiTheme="minorHAnsi"/>
          <w:sz w:val="24"/>
        </w:rPr>
      </w:pPr>
      <w:r>
        <w:rPr>
          <w:rFonts w:asciiTheme="minorHAnsi" w:hAnsiTheme="minorHAnsi"/>
          <w:sz w:val="24"/>
        </w:rPr>
        <w:t>Revise 1015.15 to include requirement of direct deposit use for all personnel; and add guidance on how to handle stale checks related to employees and vendors.</w:t>
      </w:r>
    </w:p>
    <w:p w14:paraId="4EB467C7" w14:textId="6EC7685F" w:rsidR="002453C4" w:rsidRDefault="002453C4" w:rsidP="00B12623">
      <w:pPr>
        <w:pStyle w:val="Heading1"/>
        <w:tabs>
          <w:tab w:val="left" w:pos="6675"/>
        </w:tabs>
        <w:rPr>
          <w:sz w:val="24"/>
        </w:rPr>
      </w:pPr>
    </w:p>
    <w:p w14:paraId="4EB467C8" w14:textId="7FF06E31" w:rsidR="002453C4" w:rsidRDefault="00885F90" w:rsidP="002453C4">
      <w:pPr>
        <w:pStyle w:val="Heading1"/>
        <w:tabs>
          <w:tab w:val="left" w:pos="6675"/>
        </w:tabs>
        <w:ind w:left="-2160" w:firstLine="180"/>
        <w:rPr>
          <w:rFonts w:ascii="Garamond" w:hAnsi="Garamond"/>
          <w:bCs w:val="0"/>
          <w:color w:val="auto"/>
          <w:kern w:val="0"/>
          <w:sz w:val="24"/>
          <w:szCs w:val="20"/>
        </w:rPr>
      </w:pPr>
      <w:r>
        <w:rPr>
          <w:sz w:val="24"/>
        </w:rPr>
        <w:t>DFAS Disposition</w:t>
      </w:r>
      <w:r w:rsidR="002453C4" w:rsidRPr="00F47C97">
        <w:rPr>
          <w:rFonts w:ascii="Garamond" w:hAnsi="Garamond"/>
          <w:bCs w:val="0"/>
          <w:color w:val="auto"/>
          <w:kern w:val="0"/>
          <w:sz w:val="24"/>
          <w:szCs w:val="20"/>
        </w:rPr>
        <w:t xml:space="preserve"> </w:t>
      </w:r>
      <w:r w:rsidR="002453C4">
        <w:rPr>
          <w:rFonts w:ascii="Garamond" w:hAnsi="Garamond"/>
          <w:bCs w:val="0"/>
          <w:color w:val="auto"/>
          <w:kern w:val="0"/>
          <w:sz w:val="24"/>
          <w:szCs w:val="20"/>
        </w:rPr>
        <w:t xml:space="preserve"> </w:t>
      </w:r>
    </w:p>
    <w:p w14:paraId="4AE94EB6" w14:textId="136A2360" w:rsidR="00B12623" w:rsidRPr="00932F0A" w:rsidRDefault="00B12623" w:rsidP="00B12623">
      <w:pPr>
        <w:pStyle w:val="ChapterTitle"/>
        <w:rPr>
          <w:rFonts w:asciiTheme="minorHAnsi" w:hAnsiTheme="minorHAnsi"/>
          <w:sz w:val="24"/>
        </w:rPr>
      </w:pPr>
      <w:r>
        <w:rPr>
          <w:rFonts w:asciiTheme="minorHAnsi" w:hAnsiTheme="minorHAnsi"/>
          <w:sz w:val="24"/>
        </w:rPr>
        <w:t>Update FMR to include guidance on treatment of stale checks.</w:t>
      </w:r>
    </w:p>
    <w:p w14:paraId="4EB467CB" w14:textId="1B472AE8" w:rsidR="002453C4" w:rsidRPr="007B3038" w:rsidRDefault="002453C4" w:rsidP="00DE3F6D">
      <w:pPr>
        <w:rPr>
          <w:sz w:val="24"/>
        </w:rPr>
      </w:pPr>
    </w:p>
    <w:p w14:paraId="4EB467CC" w14:textId="690C5B4A" w:rsidR="002453C4" w:rsidRDefault="002453C4" w:rsidP="002453C4">
      <w:pPr>
        <w:pStyle w:val="Heading1"/>
        <w:tabs>
          <w:tab w:val="left" w:pos="6675"/>
        </w:tabs>
        <w:ind w:left="-2160" w:firstLine="180"/>
        <w:rPr>
          <w:sz w:val="24"/>
        </w:rPr>
      </w:pPr>
      <w:r w:rsidRPr="007B3038">
        <w:rPr>
          <w:sz w:val="24"/>
        </w:rPr>
        <w:t xml:space="preserve">Forward to </w:t>
      </w:r>
      <w:r w:rsidR="00885F90">
        <w:rPr>
          <w:sz w:val="24"/>
        </w:rPr>
        <w:t>DoD</w:t>
      </w:r>
      <w:r w:rsidRPr="007B3038">
        <w:rPr>
          <w:sz w:val="24"/>
        </w:rPr>
        <w:t>IG</w:t>
      </w:r>
      <w:r w:rsidR="00885F90">
        <w:rPr>
          <w:sz w:val="24"/>
        </w:rPr>
        <w:t>?</w:t>
      </w:r>
      <w:r w:rsidRPr="007B3038">
        <w:rPr>
          <w:sz w:val="24"/>
        </w:rPr>
        <w:t xml:space="preserve">    </w:t>
      </w:r>
    </w:p>
    <w:p w14:paraId="4EB467CF" w14:textId="16908C54" w:rsidR="00422176" w:rsidRPr="00B12623" w:rsidRDefault="00B12623" w:rsidP="00B12623">
      <w:pPr>
        <w:pStyle w:val="ChapterTitle"/>
        <w:rPr>
          <w:rFonts w:asciiTheme="minorHAnsi" w:hAnsiTheme="minorHAnsi"/>
          <w:sz w:val="24"/>
        </w:rPr>
      </w:pPr>
      <w:r>
        <w:rPr>
          <w:rFonts w:asciiTheme="minorHAnsi" w:hAnsiTheme="minorHAnsi"/>
          <w:sz w:val="24"/>
        </w:rPr>
        <w:t>No DoDIG equities.</w:t>
      </w:r>
    </w:p>
    <w:sectPr w:rsidR="00422176" w:rsidRPr="00B12623" w:rsidSect="00BB5F9B">
      <w:headerReference w:type="default" r:id="rId11"/>
      <w:footerReference w:type="default" r:id="rId12"/>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DFE85" w14:textId="77777777" w:rsidR="0092346E" w:rsidRDefault="0092346E">
      <w:r>
        <w:separator/>
      </w:r>
    </w:p>
  </w:endnote>
  <w:endnote w:type="continuationSeparator" w:id="0">
    <w:p w14:paraId="6D070858" w14:textId="77777777" w:rsidR="0092346E" w:rsidRDefault="0092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4EB467D6" w14:textId="2A9A3093" w:rsidR="00916522" w:rsidRDefault="00834B9A" w:rsidP="00916522">
        <w:pPr>
          <w:pStyle w:val="Footer"/>
          <w:jc w:val="right"/>
          <w:rPr>
            <w:noProof/>
          </w:rPr>
        </w:pPr>
        <w:r>
          <w:fldChar w:fldCharType="begin"/>
        </w:r>
        <w:r>
          <w:instrText xml:space="preserve"> PAGE   \* MERGEFORMAT </w:instrText>
        </w:r>
        <w:r>
          <w:fldChar w:fldCharType="separate"/>
        </w:r>
        <w:r w:rsidR="0050392C">
          <w:rPr>
            <w:noProof/>
          </w:rPr>
          <w:t>1</w:t>
        </w:r>
        <w:r>
          <w:rPr>
            <w:noProof/>
          </w:rPr>
          <w:fldChar w:fldCharType="end"/>
        </w:r>
      </w:p>
      <w:p w14:paraId="4EB467D7" w14:textId="1A462173" w:rsidR="00834B9A" w:rsidRDefault="00885F90" w:rsidP="00916522">
        <w:pPr>
          <w:pStyle w:val="Footer"/>
          <w:jc w:val="right"/>
        </w:pPr>
        <w:r>
          <w:rPr>
            <w:noProof/>
          </w:rPr>
          <w:t>September 19, 2018</w:t>
        </w:r>
      </w:p>
    </w:sdtContent>
  </w:sdt>
  <w:p w14:paraId="4EB467D8" w14:textId="77777777" w:rsidR="00834B9A" w:rsidRDefault="0083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A162B" w14:textId="77777777" w:rsidR="0092346E" w:rsidRDefault="0092346E">
      <w:r>
        <w:separator/>
      </w:r>
    </w:p>
  </w:footnote>
  <w:footnote w:type="continuationSeparator" w:id="0">
    <w:p w14:paraId="671997A5" w14:textId="77777777" w:rsidR="0092346E" w:rsidRDefault="0092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2BDA" w14:textId="5E33625A" w:rsidR="00885F90" w:rsidRDefault="00885F90" w:rsidP="00437683">
    <w:pPr>
      <w:pStyle w:val="Header"/>
      <w:jc w:val="center"/>
      <w:rPr>
        <w:rFonts w:asciiTheme="minorHAnsi" w:hAnsiTheme="minorHAnsi"/>
        <w:sz w:val="32"/>
      </w:rPr>
    </w:pPr>
    <w:r>
      <w:rPr>
        <w:rFonts w:asciiTheme="minorHAnsi" w:hAnsiTheme="minorHAnsi"/>
        <w:sz w:val="32"/>
      </w:rPr>
      <w:t>NAF Accounting Working Group</w:t>
    </w:r>
  </w:p>
  <w:p w14:paraId="4EB467D4" w14:textId="6F8972B3" w:rsidR="00834B9A" w:rsidRDefault="00AA1134" w:rsidP="00437683">
    <w:pPr>
      <w:pStyle w:val="Header"/>
      <w:jc w:val="center"/>
      <w:rPr>
        <w:rFonts w:asciiTheme="minorHAnsi" w:hAnsiTheme="minorHAnsi"/>
        <w:sz w:val="32"/>
      </w:rPr>
    </w:pPr>
    <w:r>
      <w:rPr>
        <w:rFonts w:asciiTheme="minorHAnsi" w:hAnsiTheme="minorHAnsi"/>
        <w:sz w:val="32"/>
      </w:rPr>
      <w:t>Stale Checks</w:t>
    </w:r>
  </w:p>
  <w:p w14:paraId="4EB467D5" w14:textId="3AE5A62B" w:rsidR="00834B9A" w:rsidRPr="00437683" w:rsidRDefault="00D5136F" w:rsidP="00437683">
    <w:pPr>
      <w:pStyle w:val="Header"/>
      <w:jc w:val="center"/>
      <w:rPr>
        <w:rFonts w:asciiTheme="minorHAnsi" w:hAnsiTheme="minorHAnsi"/>
        <w:sz w:val="32"/>
      </w:rPr>
    </w:pPr>
    <w:r>
      <w:rPr>
        <w:rFonts w:asciiTheme="minorHAnsi" w:hAnsiTheme="minorHAnsi"/>
        <w:sz w:val="32"/>
      </w:rPr>
      <w:t>Position</w:t>
    </w:r>
    <w:r w:rsidR="00D0530D">
      <w:rPr>
        <w:rFonts w:asciiTheme="minorHAnsi" w:hAnsiTheme="minorHAnsi"/>
        <w:sz w:val="32"/>
      </w:rPr>
      <w:t xml:space="preserve"> </w:t>
    </w:r>
    <w:r w:rsidR="000F40A4">
      <w:rPr>
        <w:rFonts w:asciiTheme="minorHAnsi" w:hAnsiTheme="minorHAnsi"/>
        <w:sz w:val="32"/>
      </w:rPr>
      <w:t>Paper</w:t>
    </w:r>
    <w:r w:rsidR="00885F90">
      <w:rPr>
        <w:rFonts w:asciiTheme="minorHAnsi" w:hAnsiTheme="minorHAnsi"/>
        <w:sz w:val="32"/>
      </w:rPr>
      <w:t xml:space="preserve"> #33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15:restartNumberingAfterBreak="0">
    <w:nsid w:val="058F5F58"/>
    <w:multiLevelType w:val="hybridMultilevel"/>
    <w:tmpl w:val="FC3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F705FE4"/>
    <w:multiLevelType w:val="hybridMultilevel"/>
    <w:tmpl w:val="C8C6C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24EFC"/>
    <w:multiLevelType w:val="hybridMultilevel"/>
    <w:tmpl w:val="BD448EF2"/>
    <w:lvl w:ilvl="0" w:tplc="67382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A03FBA"/>
    <w:multiLevelType w:val="hybridMultilevel"/>
    <w:tmpl w:val="EDB008E6"/>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6DC236B"/>
    <w:multiLevelType w:val="hybridMultilevel"/>
    <w:tmpl w:val="32FC49B4"/>
    <w:lvl w:ilvl="0" w:tplc="DDACCA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2A5D7C"/>
    <w:multiLevelType w:val="hybridMultilevel"/>
    <w:tmpl w:val="D880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23FAB"/>
    <w:multiLevelType w:val="hybridMultilevel"/>
    <w:tmpl w:val="5C186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63987"/>
    <w:multiLevelType w:val="hybridMultilevel"/>
    <w:tmpl w:val="7BA29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62B4F"/>
    <w:multiLevelType w:val="hybridMultilevel"/>
    <w:tmpl w:val="581C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90B32"/>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36F75EBB"/>
    <w:multiLevelType w:val="hybridMultilevel"/>
    <w:tmpl w:val="E6FAB672"/>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9BD34EC"/>
    <w:multiLevelType w:val="hybridMultilevel"/>
    <w:tmpl w:val="FA8A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D3DCF"/>
    <w:multiLevelType w:val="hybridMultilevel"/>
    <w:tmpl w:val="B6626D7E"/>
    <w:lvl w:ilvl="0" w:tplc="04090001">
      <w:start w:val="1"/>
      <w:numFmt w:val="bullet"/>
      <w:lvlText w:val=""/>
      <w:lvlJc w:val="left"/>
      <w:pPr>
        <w:ind w:left="720" w:hanging="360"/>
      </w:pPr>
      <w:rPr>
        <w:rFonts w:ascii="Symbol" w:hAnsi="Symbol" w:hint="default"/>
      </w:rPr>
    </w:lvl>
    <w:lvl w:ilvl="1" w:tplc="A11A11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508D6"/>
    <w:multiLevelType w:val="hybridMultilevel"/>
    <w:tmpl w:val="7A78D02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0119C"/>
    <w:multiLevelType w:val="hybridMultilevel"/>
    <w:tmpl w:val="95D208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AC654D"/>
    <w:multiLevelType w:val="hybridMultilevel"/>
    <w:tmpl w:val="A53A0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D36A81"/>
    <w:multiLevelType w:val="hybridMultilevel"/>
    <w:tmpl w:val="31CA57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35D1096"/>
    <w:multiLevelType w:val="hybridMultilevel"/>
    <w:tmpl w:val="13947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13057"/>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850D9"/>
    <w:multiLevelType w:val="hybridMultilevel"/>
    <w:tmpl w:val="D5D29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7AAC6626"/>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9"/>
  </w:num>
  <w:num w:numId="3">
    <w:abstractNumId w:val="6"/>
  </w:num>
  <w:num w:numId="4">
    <w:abstractNumId w:val="3"/>
  </w:num>
  <w:num w:numId="5">
    <w:abstractNumId w:val="2"/>
  </w:num>
  <w:num w:numId="6">
    <w:abstractNumId w:val="1"/>
  </w:num>
  <w:num w:numId="7">
    <w:abstractNumId w:val="0"/>
  </w:num>
  <w:num w:numId="8">
    <w:abstractNumId w:val="10"/>
  </w:num>
  <w:num w:numId="9">
    <w:abstractNumId w:val="19"/>
  </w:num>
  <w:num w:numId="10">
    <w:abstractNumId w:val="17"/>
  </w:num>
  <w:num w:numId="11">
    <w:abstractNumId w:val="15"/>
  </w:num>
  <w:num w:numId="12">
    <w:abstractNumId w:val="18"/>
  </w:num>
  <w:num w:numId="13">
    <w:abstractNumId w:val="9"/>
  </w:num>
  <w:num w:numId="14">
    <w:abstractNumId w:val="14"/>
  </w:num>
  <w:num w:numId="15">
    <w:abstractNumId w:val="21"/>
  </w:num>
  <w:num w:numId="16">
    <w:abstractNumId w:val="5"/>
  </w:num>
  <w:num w:numId="17">
    <w:abstractNumId w:val="16"/>
  </w:num>
  <w:num w:numId="18">
    <w:abstractNumId w:val="30"/>
  </w:num>
  <w:num w:numId="19">
    <w:abstractNumId w:val="27"/>
  </w:num>
  <w:num w:numId="20">
    <w:abstractNumId w:val="20"/>
  </w:num>
  <w:num w:numId="21">
    <w:abstractNumId w:val="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8"/>
  </w:num>
  <w:num w:numId="25">
    <w:abstractNumId w:val="12"/>
  </w:num>
  <w:num w:numId="26">
    <w:abstractNumId w:val="22"/>
  </w:num>
  <w:num w:numId="27">
    <w:abstractNumId w:val="23"/>
  </w:num>
  <w:num w:numId="28">
    <w:abstractNumId w:val="25"/>
  </w:num>
  <w:num w:numId="29">
    <w:abstractNumId w:val="26"/>
  </w:num>
  <w:num w:numId="30">
    <w:abstractNumId w:val="13"/>
  </w:num>
  <w:num w:numId="31">
    <w:abstractNumId w:val="11"/>
  </w:num>
  <w:num w:numId="3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7"/>
    <w:rsid w:val="000048C5"/>
    <w:rsid w:val="00006441"/>
    <w:rsid w:val="00026805"/>
    <w:rsid w:val="00054CDA"/>
    <w:rsid w:val="00064594"/>
    <w:rsid w:val="00074688"/>
    <w:rsid w:val="00074A55"/>
    <w:rsid w:val="000823F9"/>
    <w:rsid w:val="0008612D"/>
    <w:rsid w:val="000866D1"/>
    <w:rsid w:val="0009688F"/>
    <w:rsid w:val="000A730C"/>
    <w:rsid w:val="000B0D0A"/>
    <w:rsid w:val="000B3111"/>
    <w:rsid w:val="000C273A"/>
    <w:rsid w:val="000C2E9A"/>
    <w:rsid w:val="000C78FF"/>
    <w:rsid w:val="000C7B49"/>
    <w:rsid w:val="000D2B3E"/>
    <w:rsid w:val="000E029A"/>
    <w:rsid w:val="000E43D8"/>
    <w:rsid w:val="000E45BA"/>
    <w:rsid w:val="000E4F6D"/>
    <w:rsid w:val="000F40A4"/>
    <w:rsid w:val="000F4AF0"/>
    <w:rsid w:val="000F700D"/>
    <w:rsid w:val="00120F2B"/>
    <w:rsid w:val="0012715F"/>
    <w:rsid w:val="00131C7C"/>
    <w:rsid w:val="00156EF7"/>
    <w:rsid w:val="0017574C"/>
    <w:rsid w:val="001A6927"/>
    <w:rsid w:val="001C1C84"/>
    <w:rsid w:val="001C7E4C"/>
    <w:rsid w:val="001D1FE2"/>
    <w:rsid w:val="001D40C4"/>
    <w:rsid w:val="001E3D47"/>
    <w:rsid w:val="001E45B8"/>
    <w:rsid w:val="001E60EE"/>
    <w:rsid w:val="001E6F57"/>
    <w:rsid w:val="001E778C"/>
    <w:rsid w:val="001F06DE"/>
    <w:rsid w:val="001F20AE"/>
    <w:rsid w:val="001F4F08"/>
    <w:rsid w:val="001F7913"/>
    <w:rsid w:val="00200A58"/>
    <w:rsid w:val="00202660"/>
    <w:rsid w:val="00205006"/>
    <w:rsid w:val="00213C66"/>
    <w:rsid w:val="00213D94"/>
    <w:rsid w:val="002208F1"/>
    <w:rsid w:val="00235DD8"/>
    <w:rsid w:val="00244470"/>
    <w:rsid w:val="002453C4"/>
    <w:rsid w:val="002479EF"/>
    <w:rsid w:val="00250B79"/>
    <w:rsid w:val="00254FC0"/>
    <w:rsid w:val="00257D56"/>
    <w:rsid w:val="00264DD1"/>
    <w:rsid w:val="0027260E"/>
    <w:rsid w:val="00277DC7"/>
    <w:rsid w:val="00281D8A"/>
    <w:rsid w:val="002859E9"/>
    <w:rsid w:val="002A51E3"/>
    <w:rsid w:val="002A5C61"/>
    <w:rsid w:val="002B104C"/>
    <w:rsid w:val="002C0344"/>
    <w:rsid w:val="002C131F"/>
    <w:rsid w:val="002E2034"/>
    <w:rsid w:val="002F0560"/>
    <w:rsid w:val="002F6648"/>
    <w:rsid w:val="0030084D"/>
    <w:rsid w:val="003026BD"/>
    <w:rsid w:val="00305C57"/>
    <w:rsid w:val="0030628A"/>
    <w:rsid w:val="003149BF"/>
    <w:rsid w:val="0032200B"/>
    <w:rsid w:val="00334FD3"/>
    <w:rsid w:val="0034759D"/>
    <w:rsid w:val="00354D4F"/>
    <w:rsid w:val="00375E78"/>
    <w:rsid w:val="00384E6C"/>
    <w:rsid w:val="00391BB7"/>
    <w:rsid w:val="00392013"/>
    <w:rsid w:val="003B0A4D"/>
    <w:rsid w:val="003B23B5"/>
    <w:rsid w:val="003B345C"/>
    <w:rsid w:val="003B793A"/>
    <w:rsid w:val="003D05EE"/>
    <w:rsid w:val="003E0276"/>
    <w:rsid w:val="003E28A0"/>
    <w:rsid w:val="003E7371"/>
    <w:rsid w:val="003F016B"/>
    <w:rsid w:val="00422176"/>
    <w:rsid w:val="00426DB1"/>
    <w:rsid w:val="00427364"/>
    <w:rsid w:val="00437683"/>
    <w:rsid w:val="0044428A"/>
    <w:rsid w:val="00461B46"/>
    <w:rsid w:val="0047306F"/>
    <w:rsid w:val="0047494A"/>
    <w:rsid w:val="00480D6F"/>
    <w:rsid w:val="004B04B3"/>
    <w:rsid w:val="004C13D3"/>
    <w:rsid w:val="004C5CD8"/>
    <w:rsid w:val="004C60DD"/>
    <w:rsid w:val="004E456D"/>
    <w:rsid w:val="004F6BF2"/>
    <w:rsid w:val="0050392C"/>
    <w:rsid w:val="005056DF"/>
    <w:rsid w:val="00505AD6"/>
    <w:rsid w:val="00520CE6"/>
    <w:rsid w:val="00520EF0"/>
    <w:rsid w:val="00522347"/>
    <w:rsid w:val="00522888"/>
    <w:rsid w:val="00531E3B"/>
    <w:rsid w:val="005428E5"/>
    <w:rsid w:val="00542E9D"/>
    <w:rsid w:val="005445C4"/>
    <w:rsid w:val="00556680"/>
    <w:rsid w:val="0056384A"/>
    <w:rsid w:val="00564E9E"/>
    <w:rsid w:val="00574C0D"/>
    <w:rsid w:val="005832BC"/>
    <w:rsid w:val="00584D92"/>
    <w:rsid w:val="00586697"/>
    <w:rsid w:val="00593599"/>
    <w:rsid w:val="005A101B"/>
    <w:rsid w:val="005A493E"/>
    <w:rsid w:val="005A6C22"/>
    <w:rsid w:val="005B3096"/>
    <w:rsid w:val="005B36B4"/>
    <w:rsid w:val="005B382E"/>
    <w:rsid w:val="005C4F21"/>
    <w:rsid w:val="005C6106"/>
    <w:rsid w:val="005D4A27"/>
    <w:rsid w:val="005D7123"/>
    <w:rsid w:val="005F2652"/>
    <w:rsid w:val="005F3D8E"/>
    <w:rsid w:val="005F4E22"/>
    <w:rsid w:val="00614C6D"/>
    <w:rsid w:val="00614F7A"/>
    <w:rsid w:val="006167A9"/>
    <w:rsid w:val="00617250"/>
    <w:rsid w:val="006214C7"/>
    <w:rsid w:val="00621BA3"/>
    <w:rsid w:val="006227D6"/>
    <w:rsid w:val="006308EF"/>
    <w:rsid w:val="00634138"/>
    <w:rsid w:val="00634D8E"/>
    <w:rsid w:val="006404DB"/>
    <w:rsid w:val="00655FDE"/>
    <w:rsid w:val="00674186"/>
    <w:rsid w:val="00677C39"/>
    <w:rsid w:val="00680AC5"/>
    <w:rsid w:val="00683259"/>
    <w:rsid w:val="006864BB"/>
    <w:rsid w:val="00692188"/>
    <w:rsid w:val="006959C4"/>
    <w:rsid w:val="006A5955"/>
    <w:rsid w:val="006B07F7"/>
    <w:rsid w:val="006B117D"/>
    <w:rsid w:val="006B75A6"/>
    <w:rsid w:val="006C0251"/>
    <w:rsid w:val="006C1360"/>
    <w:rsid w:val="006C4D3D"/>
    <w:rsid w:val="006D2CBF"/>
    <w:rsid w:val="006D5AC3"/>
    <w:rsid w:val="006D6706"/>
    <w:rsid w:val="006F355C"/>
    <w:rsid w:val="007006E4"/>
    <w:rsid w:val="00702014"/>
    <w:rsid w:val="00712305"/>
    <w:rsid w:val="00713DA9"/>
    <w:rsid w:val="00715686"/>
    <w:rsid w:val="00715C51"/>
    <w:rsid w:val="0072194C"/>
    <w:rsid w:val="00721E95"/>
    <w:rsid w:val="00725A45"/>
    <w:rsid w:val="00736C0A"/>
    <w:rsid w:val="00753436"/>
    <w:rsid w:val="00757BEE"/>
    <w:rsid w:val="00793390"/>
    <w:rsid w:val="007A2C5F"/>
    <w:rsid w:val="007A2CED"/>
    <w:rsid w:val="007B2CA1"/>
    <w:rsid w:val="007B4282"/>
    <w:rsid w:val="007C4C86"/>
    <w:rsid w:val="007D3058"/>
    <w:rsid w:val="007E0913"/>
    <w:rsid w:val="007E3B59"/>
    <w:rsid w:val="007F6A23"/>
    <w:rsid w:val="007F71E0"/>
    <w:rsid w:val="0080326D"/>
    <w:rsid w:val="00804D1D"/>
    <w:rsid w:val="00810916"/>
    <w:rsid w:val="00811031"/>
    <w:rsid w:val="008134DE"/>
    <w:rsid w:val="0082172C"/>
    <w:rsid w:val="0082211C"/>
    <w:rsid w:val="0082463C"/>
    <w:rsid w:val="00825615"/>
    <w:rsid w:val="00832D4C"/>
    <w:rsid w:val="00834B9A"/>
    <w:rsid w:val="00835D15"/>
    <w:rsid w:val="00841891"/>
    <w:rsid w:val="00850E2C"/>
    <w:rsid w:val="00852416"/>
    <w:rsid w:val="008612FE"/>
    <w:rsid w:val="008703C6"/>
    <w:rsid w:val="00882416"/>
    <w:rsid w:val="00882C61"/>
    <w:rsid w:val="00884B99"/>
    <w:rsid w:val="00885F90"/>
    <w:rsid w:val="008975EF"/>
    <w:rsid w:val="008A3F93"/>
    <w:rsid w:val="008A6680"/>
    <w:rsid w:val="008B3B98"/>
    <w:rsid w:val="008C2E4C"/>
    <w:rsid w:val="008C3E22"/>
    <w:rsid w:val="008D4FB4"/>
    <w:rsid w:val="008E5F3F"/>
    <w:rsid w:val="00903A0C"/>
    <w:rsid w:val="00914FE9"/>
    <w:rsid w:val="00916522"/>
    <w:rsid w:val="009176E5"/>
    <w:rsid w:val="009178E1"/>
    <w:rsid w:val="00922BDE"/>
    <w:rsid w:val="00922CE3"/>
    <w:rsid w:val="0092346E"/>
    <w:rsid w:val="00925BF0"/>
    <w:rsid w:val="00931310"/>
    <w:rsid w:val="0093198E"/>
    <w:rsid w:val="009321A5"/>
    <w:rsid w:val="0093411F"/>
    <w:rsid w:val="0093576F"/>
    <w:rsid w:val="00936310"/>
    <w:rsid w:val="009365BD"/>
    <w:rsid w:val="0093757F"/>
    <w:rsid w:val="00951C84"/>
    <w:rsid w:val="00955D64"/>
    <w:rsid w:val="00962760"/>
    <w:rsid w:val="00963CF5"/>
    <w:rsid w:val="009728E5"/>
    <w:rsid w:val="00975A7A"/>
    <w:rsid w:val="0099726B"/>
    <w:rsid w:val="009B373B"/>
    <w:rsid w:val="009B5A22"/>
    <w:rsid w:val="009B7765"/>
    <w:rsid w:val="009C0DE8"/>
    <w:rsid w:val="009C50A3"/>
    <w:rsid w:val="009C5348"/>
    <w:rsid w:val="009C7502"/>
    <w:rsid w:val="009D59E1"/>
    <w:rsid w:val="009E4972"/>
    <w:rsid w:val="009E5112"/>
    <w:rsid w:val="00A07E9F"/>
    <w:rsid w:val="00A11CE2"/>
    <w:rsid w:val="00A13276"/>
    <w:rsid w:val="00A351E8"/>
    <w:rsid w:val="00A35409"/>
    <w:rsid w:val="00A40E24"/>
    <w:rsid w:val="00A4393C"/>
    <w:rsid w:val="00A630E9"/>
    <w:rsid w:val="00A64C29"/>
    <w:rsid w:val="00A67095"/>
    <w:rsid w:val="00A7516A"/>
    <w:rsid w:val="00A80017"/>
    <w:rsid w:val="00A85A5A"/>
    <w:rsid w:val="00A86750"/>
    <w:rsid w:val="00A868E1"/>
    <w:rsid w:val="00AA1134"/>
    <w:rsid w:val="00AC06AF"/>
    <w:rsid w:val="00AC2CD2"/>
    <w:rsid w:val="00AC54D9"/>
    <w:rsid w:val="00AC63DC"/>
    <w:rsid w:val="00AD192A"/>
    <w:rsid w:val="00AD5984"/>
    <w:rsid w:val="00AE4ECB"/>
    <w:rsid w:val="00B12623"/>
    <w:rsid w:val="00B12B96"/>
    <w:rsid w:val="00B137AE"/>
    <w:rsid w:val="00B13DC6"/>
    <w:rsid w:val="00B15549"/>
    <w:rsid w:val="00B26E68"/>
    <w:rsid w:val="00B32748"/>
    <w:rsid w:val="00B3571B"/>
    <w:rsid w:val="00B410EB"/>
    <w:rsid w:val="00B426FF"/>
    <w:rsid w:val="00B477AC"/>
    <w:rsid w:val="00B506B3"/>
    <w:rsid w:val="00B555AF"/>
    <w:rsid w:val="00B55DE6"/>
    <w:rsid w:val="00B63743"/>
    <w:rsid w:val="00B67323"/>
    <w:rsid w:val="00B72016"/>
    <w:rsid w:val="00B72C34"/>
    <w:rsid w:val="00B8124C"/>
    <w:rsid w:val="00B90DAD"/>
    <w:rsid w:val="00B936DA"/>
    <w:rsid w:val="00B9546B"/>
    <w:rsid w:val="00BA2305"/>
    <w:rsid w:val="00BA5A26"/>
    <w:rsid w:val="00BB5F9B"/>
    <w:rsid w:val="00BB6BD5"/>
    <w:rsid w:val="00BC03AD"/>
    <w:rsid w:val="00BC370C"/>
    <w:rsid w:val="00BD441B"/>
    <w:rsid w:val="00BD5CDF"/>
    <w:rsid w:val="00BD7E80"/>
    <w:rsid w:val="00BE3BAC"/>
    <w:rsid w:val="00BE7657"/>
    <w:rsid w:val="00BF1BDE"/>
    <w:rsid w:val="00BF4991"/>
    <w:rsid w:val="00C05FE2"/>
    <w:rsid w:val="00C06A41"/>
    <w:rsid w:val="00C20748"/>
    <w:rsid w:val="00C228C6"/>
    <w:rsid w:val="00C26B8F"/>
    <w:rsid w:val="00C26E0E"/>
    <w:rsid w:val="00C413CA"/>
    <w:rsid w:val="00C460F9"/>
    <w:rsid w:val="00C46895"/>
    <w:rsid w:val="00C55B6E"/>
    <w:rsid w:val="00C57363"/>
    <w:rsid w:val="00C61361"/>
    <w:rsid w:val="00C6570E"/>
    <w:rsid w:val="00C67082"/>
    <w:rsid w:val="00C74212"/>
    <w:rsid w:val="00C7614D"/>
    <w:rsid w:val="00C773EE"/>
    <w:rsid w:val="00C910A7"/>
    <w:rsid w:val="00C91D86"/>
    <w:rsid w:val="00C92A90"/>
    <w:rsid w:val="00C9363F"/>
    <w:rsid w:val="00CA0F9B"/>
    <w:rsid w:val="00CA14CA"/>
    <w:rsid w:val="00CA44C4"/>
    <w:rsid w:val="00CB2C1B"/>
    <w:rsid w:val="00CB43EB"/>
    <w:rsid w:val="00CE3032"/>
    <w:rsid w:val="00CE3414"/>
    <w:rsid w:val="00CE370F"/>
    <w:rsid w:val="00CE39FF"/>
    <w:rsid w:val="00CF260A"/>
    <w:rsid w:val="00CF293F"/>
    <w:rsid w:val="00D021B1"/>
    <w:rsid w:val="00D0530D"/>
    <w:rsid w:val="00D12C6A"/>
    <w:rsid w:val="00D12F3F"/>
    <w:rsid w:val="00D1410C"/>
    <w:rsid w:val="00D148D7"/>
    <w:rsid w:val="00D37F78"/>
    <w:rsid w:val="00D42FEA"/>
    <w:rsid w:val="00D5136F"/>
    <w:rsid w:val="00D53D16"/>
    <w:rsid w:val="00D54911"/>
    <w:rsid w:val="00D71125"/>
    <w:rsid w:val="00D71751"/>
    <w:rsid w:val="00D853CE"/>
    <w:rsid w:val="00D952E5"/>
    <w:rsid w:val="00DA6C4D"/>
    <w:rsid w:val="00DC0B71"/>
    <w:rsid w:val="00DC1E9B"/>
    <w:rsid w:val="00DC56A6"/>
    <w:rsid w:val="00DD129D"/>
    <w:rsid w:val="00DD5DC6"/>
    <w:rsid w:val="00DE1F78"/>
    <w:rsid w:val="00DE346C"/>
    <w:rsid w:val="00DE3F6D"/>
    <w:rsid w:val="00DF38F3"/>
    <w:rsid w:val="00DF662C"/>
    <w:rsid w:val="00DF7F66"/>
    <w:rsid w:val="00E13655"/>
    <w:rsid w:val="00E17AAF"/>
    <w:rsid w:val="00E21DE5"/>
    <w:rsid w:val="00E360CB"/>
    <w:rsid w:val="00E45173"/>
    <w:rsid w:val="00E46EBA"/>
    <w:rsid w:val="00E542AF"/>
    <w:rsid w:val="00E55085"/>
    <w:rsid w:val="00E61C20"/>
    <w:rsid w:val="00E623E9"/>
    <w:rsid w:val="00E64F72"/>
    <w:rsid w:val="00E749D0"/>
    <w:rsid w:val="00E80C75"/>
    <w:rsid w:val="00E82A4B"/>
    <w:rsid w:val="00E86CD3"/>
    <w:rsid w:val="00E90A82"/>
    <w:rsid w:val="00E96F04"/>
    <w:rsid w:val="00EB33B3"/>
    <w:rsid w:val="00EC4C12"/>
    <w:rsid w:val="00ED6A35"/>
    <w:rsid w:val="00EE0D2D"/>
    <w:rsid w:val="00EE34EB"/>
    <w:rsid w:val="00EF04BB"/>
    <w:rsid w:val="00F056D3"/>
    <w:rsid w:val="00F05EBE"/>
    <w:rsid w:val="00F07668"/>
    <w:rsid w:val="00F07B6D"/>
    <w:rsid w:val="00F21151"/>
    <w:rsid w:val="00F26CD1"/>
    <w:rsid w:val="00F320E6"/>
    <w:rsid w:val="00F44314"/>
    <w:rsid w:val="00F44666"/>
    <w:rsid w:val="00F45570"/>
    <w:rsid w:val="00F47B9A"/>
    <w:rsid w:val="00F55B46"/>
    <w:rsid w:val="00F56DC3"/>
    <w:rsid w:val="00F57187"/>
    <w:rsid w:val="00F61A99"/>
    <w:rsid w:val="00F6431F"/>
    <w:rsid w:val="00F7038E"/>
    <w:rsid w:val="00F706B0"/>
    <w:rsid w:val="00F74AC3"/>
    <w:rsid w:val="00F811DD"/>
    <w:rsid w:val="00FA723B"/>
    <w:rsid w:val="00FA77F1"/>
    <w:rsid w:val="00FB70DD"/>
    <w:rsid w:val="00FC0DA6"/>
    <w:rsid w:val="00FC20BB"/>
    <w:rsid w:val="00FC64A5"/>
    <w:rsid w:val="00FC70BD"/>
    <w:rsid w:val="00FD3716"/>
    <w:rsid w:val="00FD71DA"/>
    <w:rsid w:val="00FE13C0"/>
    <w:rsid w:val="00FE3532"/>
    <w:rsid w:val="00FE6CFD"/>
    <w:rsid w:val="00FE7C08"/>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B46774"/>
  <w15:docId w15:val="{B6C5A362-529D-4EFF-8D24-BFB76FE3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EF7"/>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link w:val="Heading3Char"/>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E46EBA"/>
    <w:rPr>
      <w:rFonts w:ascii="Arial" w:hAnsi="Arial" w:cs="Arial"/>
      <w:b/>
      <w:color w:val="747678"/>
      <w:sz w:val="13"/>
    </w:rPr>
  </w:style>
  <w:style w:type="character" w:customStyle="1" w:styleId="Heading1Char">
    <w:name w:val="Heading 1 Char"/>
    <w:basedOn w:val="DefaultParagraphFont"/>
    <w:link w:val="Heading1"/>
    <w:rsid w:val="00AC06AF"/>
    <w:rPr>
      <w:rFonts w:ascii="Arial Black" w:hAnsi="Arial Black" w:cs="Arial"/>
      <w:bCs/>
      <w:color w:val="4F2D7F"/>
      <w:kern w:val="32"/>
      <w:sz w:val="19"/>
      <w:szCs w:val="28"/>
    </w:rPr>
  </w:style>
  <w:style w:type="character" w:customStyle="1" w:styleId="Heading2Char">
    <w:name w:val="Heading 2 Char"/>
    <w:basedOn w:val="DefaultParagraphFont"/>
    <w:link w:val="Heading2"/>
    <w:rsid w:val="00AC06AF"/>
    <w:rPr>
      <w:rFonts w:ascii="Arial Black" w:hAnsi="Arial Black" w:cs="Arial"/>
      <w:kern w:val="32"/>
      <w:sz w:val="19"/>
      <w:szCs w:val="24"/>
    </w:rPr>
  </w:style>
  <w:style w:type="character" w:customStyle="1" w:styleId="Heading3Char">
    <w:name w:val="Heading 3 Char"/>
    <w:basedOn w:val="DefaultParagraphFont"/>
    <w:link w:val="Heading3"/>
    <w:rsid w:val="00AC06AF"/>
    <w:rPr>
      <w:rFonts w:ascii="Arial" w:hAnsi="Arial" w:cs="Arial"/>
      <w:bCs/>
      <w:kern w:val="32"/>
      <w:sz w:val="19"/>
      <w:szCs w:val="22"/>
    </w:rPr>
  </w:style>
  <w:style w:type="table" w:customStyle="1" w:styleId="GridTable5Dark-Accent11">
    <w:name w:val="Grid Table 5 Dark - Accent 11"/>
    <w:basedOn w:val="TableNormal"/>
    <w:uiPriority w:val="50"/>
    <w:rsid w:val="00F076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paragraph" w:customStyle="1" w:styleId="Default">
    <w:name w:val="Default"/>
    <w:rsid w:val="0081091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0553">
      <w:bodyDiv w:val="1"/>
      <w:marLeft w:val="0"/>
      <w:marRight w:val="0"/>
      <w:marTop w:val="0"/>
      <w:marBottom w:val="0"/>
      <w:divBdr>
        <w:top w:val="none" w:sz="0" w:space="0" w:color="auto"/>
        <w:left w:val="none" w:sz="0" w:space="0" w:color="auto"/>
        <w:bottom w:val="none" w:sz="0" w:space="0" w:color="auto"/>
        <w:right w:val="none" w:sz="0" w:space="0" w:color="auto"/>
      </w:divBdr>
    </w:div>
    <w:div w:id="515849212">
      <w:bodyDiv w:val="1"/>
      <w:marLeft w:val="0"/>
      <w:marRight w:val="0"/>
      <w:marTop w:val="0"/>
      <w:marBottom w:val="0"/>
      <w:divBdr>
        <w:top w:val="none" w:sz="0" w:space="0" w:color="auto"/>
        <w:left w:val="none" w:sz="0" w:space="0" w:color="auto"/>
        <w:bottom w:val="none" w:sz="0" w:space="0" w:color="auto"/>
        <w:right w:val="none" w:sz="0" w:space="0" w:color="auto"/>
      </w:divBdr>
    </w:div>
    <w:div w:id="1510414545">
      <w:bodyDiv w:val="1"/>
      <w:marLeft w:val="720"/>
      <w:marRight w:val="0"/>
      <w:marTop w:val="0"/>
      <w:marBottom w:val="0"/>
      <w:divBdr>
        <w:top w:val="none" w:sz="0" w:space="0" w:color="auto"/>
        <w:left w:val="none" w:sz="0" w:space="0" w:color="auto"/>
        <w:bottom w:val="none" w:sz="0" w:space="0" w:color="auto"/>
        <w:right w:val="none" w:sz="0" w:space="0" w:color="auto"/>
      </w:divBdr>
      <w:divsChild>
        <w:div w:id="252319951">
          <w:marLeft w:val="75"/>
          <w:marRight w:val="75"/>
          <w:marTop w:val="75"/>
          <w:marBottom w:val="75"/>
          <w:divBdr>
            <w:top w:val="none" w:sz="0" w:space="0" w:color="auto"/>
            <w:left w:val="none" w:sz="0" w:space="0" w:color="auto"/>
            <w:bottom w:val="none" w:sz="0" w:space="0" w:color="auto"/>
            <w:right w:val="none" w:sz="0" w:space="0" w:color="auto"/>
          </w:divBdr>
          <w:divsChild>
            <w:div w:id="865213976">
              <w:marLeft w:val="0"/>
              <w:marRight w:val="0"/>
              <w:marTop w:val="0"/>
              <w:marBottom w:val="0"/>
              <w:divBdr>
                <w:top w:val="none" w:sz="0" w:space="0" w:color="auto"/>
                <w:left w:val="none" w:sz="0" w:space="0" w:color="auto"/>
                <w:bottom w:val="none" w:sz="0" w:space="0" w:color="auto"/>
                <w:right w:val="none" w:sz="0" w:space="0" w:color="auto"/>
              </w:divBdr>
              <w:divsChild>
                <w:div w:id="152064404">
                  <w:marLeft w:val="0"/>
                  <w:marRight w:val="0"/>
                  <w:marTop w:val="0"/>
                  <w:marBottom w:val="0"/>
                  <w:divBdr>
                    <w:top w:val="none" w:sz="0" w:space="0" w:color="auto"/>
                    <w:left w:val="none" w:sz="0" w:space="0" w:color="auto"/>
                    <w:bottom w:val="none" w:sz="0" w:space="0" w:color="auto"/>
                    <w:right w:val="none" w:sz="0" w:space="0" w:color="auto"/>
                  </w:divBdr>
                  <w:divsChild>
                    <w:div w:id="3511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59051">
      <w:bodyDiv w:val="1"/>
      <w:marLeft w:val="720"/>
      <w:marRight w:val="0"/>
      <w:marTop w:val="0"/>
      <w:marBottom w:val="0"/>
      <w:divBdr>
        <w:top w:val="none" w:sz="0" w:space="0" w:color="auto"/>
        <w:left w:val="none" w:sz="0" w:space="0" w:color="auto"/>
        <w:bottom w:val="none" w:sz="0" w:space="0" w:color="auto"/>
        <w:right w:val="none" w:sz="0" w:space="0" w:color="auto"/>
      </w:divBdr>
      <w:divsChild>
        <w:div w:id="1702432111">
          <w:marLeft w:val="75"/>
          <w:marRight w:val="75"/>
          <w:marTop w:val="75"/>
          <w:marBottom w:val="75"/>
          <w:divBdr>
            <w:top w:val="none" w:sz="0" w:space="0" w:color="auto"/>
            <w:left w:val="none" w:sz="0" w:space="0" w:color="auto"/>
            <w:bottom w:val="none" w:sz="0" w:space="0" w:color="auto"/>
            <w:right w:val="none" w:sz="0" w:space="0" w:color="auto"/>
          </w:divBdr>
          <w:divsChild>
            <w:div w:id="709720882">
              <w:marLeft w:val="0"/>
              <w:marRight w:val="0"/>
              <w:marTop w:val="0"/>
              <w:marBottom w:val="0"/>
              <w:divBdr>
                <w:top w:val="none" w:sz="0" w:space="0" w:color="auto"/>
                <w:left w:val="none" w:sz="0" w:space="0" w:color="auto"/>
                <w:bottom w:val="none" w:sz="0" w:space="0" w:color="auto"/>
                <w:right w:val="none" w:sz="0" w:space="0" w:color="auto"/>
              </w:divBdr>
              <w:divsChild>
                <w:div w:id="471409627">
                  <w:marLeft w:val="0"/>
                  <w:marRight w:val="0"/>
                  <w:marTop w:val="0"/>
                  <w:marBottom w:val="0"/>
                  <w:divBdr>
                    <w:top w:val="none" w:sz="0" w:space="0" w:color="auto"/>
                    <w:left w:val="none" w:sz="0" w:space="0" w:color="auto"/>
                    <w:bottom w:val="none" w:sz="0" w:space="0" w:color="auto"/>
                    <w:right w:val="none" w:sz="0" w:space="0" w:color="auto"/>
                  </w:divBdr>
                  <w:divsChild>
                    <w:div w:id="137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1FE96-A07F-4843-92BF-51DB782B2E92}"/>
</file>

<file path=customXml/itemProps2.xml><?xml version="1.0" encoding="utf-8"?>
<ds:datastoreItem xmlns:ds="http://schemas.openxmlformats.org/officeDocument/2006/customXml" ds:itemID="{74F41717-2F38-47EC-B66E-03D73C2B23ED}"/>
</file>

<file path=customXml/itemProps3.xml><?xml version="1.0" encoding="utf-8"?>
<ds:datastoreItem xmlns:ds="http://schemas.openxmlformats.org/officeDocument/2006/customXml" ds:itemID="{E9A973CC-9313-49EA-BDA5-8DD6D5072076}"/>
</file>

<file path=customXml/itemProps4.xml><?xml version="1.0" encoding="utf-8"?>
<ds:datastoreItem xmlns:ds="http://schemas.openxmlformats.org/officeDocument/2006/customXml" ds:itemID="{E68BB4D3-0BD8-42B6-AB06-BA5F509C9D4E}"/>
</file>

<file path=docProps/app.xml><?xml version="1.0" encoding="utf-8"?>
<Properties xmlns="http://schemas.openxmlformats.org/officeDocument/2006/extended-properties" xmlns:vt="http://schemas.openxmlformats.org/officeDocument/2006/docPropsVTypes">
  <Template>Normal.dotm</Template>
  <TotalTime>74</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Susannah</dc:creator>
  <cp:lastModifiedBy>Saldivar, Mary</cp:lastModifiedBy>
  <cp:revision>15</cp:revision>
  <cp:lastPrinted>2014-10-08T16:46:00Z</cp:lastPrinted>
  <dcterms:created xsi:type="dcterms:W3CDTF">2018-09-25T19:23:00Z</dcterms:created>
  <dcterms:modified xsi:type="dcterms:W3CDTF">2019-08-06T14:27:00Z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